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7731" w14:textId="6385CE6C" w:rsidR="00CE224B" w:rsidRPr="0012307A" w:rsidRDefault="00CE224B" w:rsidP="001B4DA6">
      <w:pPr>
        <w:spacing w:after="0" w:line="240" w:lineRule="auto"/>
        <w:jc w:val="both"/>
        <w:rPr>
          <w:rFonts w:ascii="Cambria" w:eastAsia="Cambria" w:hAnsi="Cambria" w:cs="Cambria"/>
          <w:color w:val="000000" w:themeColor="text1"/>
        </w:rPr>
      </w:pPr>
      <w:r w:rsidRPr="0012307A">
        <w:rPr>
          <w:rFonts w:ascii="Cambria" w:eastAsia="Cambria" w:hAnsi="Cambria" w:cs="Cambria"/>
          <w:color w:val="000000" w:themeColor="text1"/>
          <w:highlight w:val="yellow"/>
        </w:rPr>
        <w:t>March X, 2023</w:t>
      </w:r>
    </w:p>
    <w:p w14:paraId="3B1909DC" w14:textId="77777777" w:rsidR="00CE224B" w:rsidRDefault="00CE224B" w:rsidP="001B4DA6">
      <w:pPr>
        <w:spacing w:after="0" w:line="240" w:lineRule="auto"/>
        <w:jc w:val="both"/>
        <w:rPr>
          <w:rFonts w:ascii="Cambria" w:eastAsia="Cambria" w:hAnsi="Cambria" w:cs="Cambria"/>
          <w:color w:val="000000" w:themeColor="text1"/>
        </w:rPr>
      </w:pPr>
    </w:p>
    <w:p w14:paraId="22C79ACB" w14:textId="77777777" w:rsidR="006A4D3F" w:rsidRPr="0012307A" w:rsidRDefault="006A4D3F" w:rsidP="001B4DA6">
      <w:pPr>
        <w:spacing w:after="0" w:line="240" w:lineRule="auto"/>
        <w:jc w:val="both"/>
        <w:rPr>
          <w:rFonts w:ascii="Cambria" w:eastAsia="Cambria" w:hAnsi="Cambria" w:cs="Cambria"/>
          <w:color w:val="000000" w:themeColor="text1"/>
        </w:rPr>
      </w:pPr>
    </w:p>
    <w:p w14:paraId="0C8E3C14" w14:textId="35C7551D" w:rsidR="00CE224B" w:rsidRPr="0012307A" w:rsidRDefault="00CE224B" w:rsidP="001B4DA6">
      <w:pPr>
        <w:spacing w:after="0" w:line="240" w:lineRule="auto"/>
        <w:jc w:val="both"/>
        <w:rPr>
          <w:rFonts w:ascii="Cambria" w:eastAsia="Cambria" w:hAnsi="Cambria" w:cs="Cambria"/>
          <w:color w:val="000000" w:themeColor="text1"/>
        </w:rPr>
      </w:pPr>
      <w:r w:rsidRPr="0012307A">
        <w:rPr>
          <w:rFonts w:ascii="Cambria" w:eastAsia="Cambria" w:hAnsi="Cambria" w:cs="Cambria"/>
          <w:color w:val="000000" w:themeColor="text1"/>
        </w:rPr>
        <w:t>Chiquita Brooks-</w:t>
      </w:r>
      <w:proofErr w:type="spellStart"/>
      <w:r w:rsidRPr="0012307A">
        <w:rPr>
          <w:rFonts w:ascii="Cambria" w:eastAsia="Cambria" w:hAnsi="Cambria" w:cs="Cambria"/>
          <w:color w:val="000000" w:themeColor="text1"/>
        </w:rPr>
        <w:t>LaSure</w:t>
      </w:r>
      <w:proofErr w:type="spellEnd"/>
    </w:p>
    <w:p w14:paraId="47A37274" w14:textId="77777777" w:rsidR="00CE224B" w:rsidRPr="0012307A" w:rsidRDefault="00CE224B" w:rsidP="001B4DA6">
      <w:pPr>
        <w:spacing w:after="0" w:line="240" w:lineRule="auto"/>
        <w:jc w:val="both"/>
        <w:rPr>
          <w:rFonts w:ascii="Cambria" w:hAnsi="Cambria"/>
        </w:rPr>
      </w:pPr>
      <w:r w:rsidRPr="0012307A">
        <w:rPr>
          <w:rFonts w:ascii="Cambria" w:eastAsia="Cambria" w:hAnsi="Cambria" w:cs="Cambria"/>
          <w:color w:val="000000" w:themeColor="text1"/>
        </w:rPr>
        <w:t>Administrator</w:t>
      </w:r>
    </w:p>
    <w:p w14:paraId="646AA5E7" w14:textId="77777777" w:rsidR="00CE224B" w:rsidRPr="0012307A" w:rsidRDefault="00CE224B" w:rsidP="001B4DA6">
      <w:pPr>
        <w:spacing w:after="0" w:line="240" w:lineRule="auto"/>
        <w:jc w:val="both"/>
        <w:rPr>
          <w:rFonts w:ascii="Cambria" w:hAnsi="Cambria"/>
        </w:rPr>
      </w:pPr>
      <w:r w:rsidRPr="0012307A">
        <w:rPr>
          <w:rFonts w:ascii="Cambria" w:eastAsia="Cambria" w:hAnsi="Cambria" w:cs="Cambria"/>
          <w:color w:val="000000" w:themeColor="text1"/>
        </w:rPr>
        <w:t>Centers for Medicare and Medicaid Services</w:t>
      </w:r>
    </w:p>
    <w:p w14:paraId="6A6B7FFC" w14:textId="77777777" w:rsidR="00CE224B" w:rsidRPr="0012307A" w:rsidRDefault="00CE224B" w:rsidP="001B4DA6">
      <w:pPr>
        <w:spacing w:after="0" w:line="240" w:lineRule="auto"/>
        <w:jc w:val="both"/>
        <w:rPr>
          <w:rFonts w:ascii="Cambria" w:eastAsia="Cambria" w:hAnsi="Cambria" w:cs="Cambria"/>
          <w:color w:val="000000" w:themeColor="text1"/>
        </w:rPr>
      </w:pPr>
      <w:r w:rsidRPr="0012307A">
        <w:rPr>
          <w:rFonts w:ascii="Cambria" w:eastAsia="Cambria" w:hAnsi="Cambria" w:cs="Cambria"/>
          <w:color w:val="000000" w:themeColor="text1"/>
        </w:rPr>
        <w:t>7500 Security Blvd.</w:t>
      </w:r>
    </w:p>
    <w:p w14:paraId="3919C40F" w14:textId="77777777" w:rsidR="00CE224B" w:rsidRPr="0012307A" w:rsidRDefault="00CE224B" w:rsidP="001B4DA6">
      <w:pPr>
        <w:spacing w:after="0" w:line="240" w:lineRule="auto"/>
        <w:jc w:val="both"/>
        <w:rPr>
          <w:rFonts w:ascii="Cambria" w:eastAsia="Cambria" w:hAnsi="Cambria" w:cs="Cambria"/>
          <w:color w:val="000000" w:themeColor="text1"/>
        </w:rPr>
      </w:pPr>
      <w:r w:rsidRPr="0012307A">
        <w:rPr>
          <w:rFonts w:ascii="Cambria" w:eastAsia="Cambria" w:hAnsi="Cambria" w:cs="Cambria"/>
          <w:color w:val="000000" w:themeColor="text1"/>
        </w:rPr>
        <w:t>Baltimore, MD 21244</w:t>
      </w:r>
    </w:p>
    <w:p w14:paraId="2C83414D" w14:textId="77777777" w:rsidR="00CE224B" w:rsidRPr="0012307A" w:rsidRDefault="00CE224B" w:rsidP="001B4DA6">
      <w:pPr>
        <w:spacing w:after="0" w:line="240" w:lineRule="auto"/>
        <w:jc w:val="both"/>
        <w:rPr>
          <w:rFonts w:ascii="Cambria" w:eastAsia="Cambria" w:hAnsi="Cambria" w:cs="Cambria"/>
          <w:color w:val="000000" w:themeColor="text1"/>
        </w:rPr>
      </w:pPr>
    </w:p>
    <w:p w14:paraId="426CF63F" w14:textId="77777777" w:rsidR="00CE224B" w:rsidRPr="0012307A" w:rsidRDefault="00CE224B" w:rsidP="001B4DA6">
      <w:pPr>
        <w:spacing w:after="0" w:line="240" w:lineRule="auto"/>
        <w:jc w:val="both"/>
        <w:rPr>
          <w:rFonts w:ascii="Cambria" w:eastAsia="Cambria" w:hAnsi="Cambria" w:cs="Cambria"/>
          <w:color w:val="000000" w:themeColor="text1"/>
        </w:rPr>
      </w:pPr>
    </w:p>
    <w:p w14:paraId="692FAF78" w14:textId="77777777" w:rsidR="00CE224B" w:rsidRPr="0012307A" w:rsidRDefault="00CE224B" w:rsidP="001B4DA6">
      <w:pPr>
        <w:spacing w:after="0" w:line="240" w:lineRule="auto"/>
        <w:jc w:val="both"/>
        <w:rPr>
          <w:rFonts w:ascii="Cambria" w:eastAsia="Cambria" w:hAnsi="Cambria" w:cs="Cambria"/>
          <w:color w:val="000000" w:themeColor="text1"/>
        </w:rPr>
      </w:pPr>
      <w:r w:rsidRPr="0012307A">
        <w:rPr>
          <w:rFonts w:ascii="Cambria" w:eastAsia="Cambria" w:hAnsi="Cambria" w:cs="Cambria"/>
          <w:color w:val="000000" w:themeColor="text1"/>
        </w:rPr>
        <w:t>Dear Administrator Brooks-</w:t>
      </w:r>
      <w:proofErr w:type="spellStart"/>
      <w:r w:rsidRPr="0012307A">
        <w:rPr>
          <w:rFonts w:ascii="Cambria" w:eastAsia="Cambria" w:hAnsi="Cambria" w:cs="Cambria"/>
          <w:color w:val="000000" w:themeColor="text1"/>
        </w:rPr>
        <w:t>LaSure</w:t>
      </w:r>
      <w:proofErr w:type="spellEnd"/>
      <w:r w:rsidRPr="0012307A">
        <w:rPr>
          <w:rFonts w:ascii="Cambria" w:eastAsia="Cambria" w:hAnsi="Cambria" w:cs="Cambria"/>
          <w:color w:val="000000" w:themeColor="text1"/>
        </w:rPr>
        <w:t>,</w:t>
      </w:r>
    </w:p>
    <w:p w14:paraId="656B6D9A" w14:textId="77777777" w:rsidR="00CE224B" w:rsidRPr="0012307A" w:rsidRDefault="00CE224B" w:rsidP="001B4DA6">
      <w:pPr>
        <w:spacing w:after="0" w:line="240" w:lineRule="auto"/>
        <w:jc w:val="both"/>
        <w:rPr>
          <w:rFonts w:ascii="Cambria" w:eastAsia="Cambria" w:hAnsi="Cambria" w:cs="Cambria"/>
          <w:color w:val="000000" w:themeColor="text1"/>
        </w:rPr>
      </w:pPr>
    </w:p>
    <w:p w14:paraId="65589312" w14:textId="549D81E4" w:rsidR="00CE224B" w:rsidRPr="0012307A" w:rsidRDefault="00016FDC" w:rsidP="001B4DA6">
      <w:pPr>
        <w:spacing w:after="0" w:line="240" w:lineRule="auto"/>
        <w:jc w:val="both"/>
        <w:rPr>
          <w:rFonts w:ascii="Cambria" w:eastAsia="Cambria" w:hAnsi="Cambria" w:cs="Cambria"/>
          <w:color w:val="000000" w:themeColor="text1"/>
        </w:rPr>
      </w:pPr>
      <w:r w:rsidRPr="00016FDC">
        <w:rPr>
          <w:rFonts w:ascii="Cambria" w:eastAsia="Cambria" w:hAnsi="Cambria" w:cs="Cambria"/>
          <w:color w:val="000000" w:themeColor="text1"/>
          <w:highlight w:val="yellow"/>
        </w:rPr>
        <w:t>[Your organization]</w:t>
      </w:r>
      <w:r w:rsidR="00CE224B" w:rsidRPr="0012307A">
        <w:rPr>
          <w:rFonts w:ascii="Cambria" w:eastAsia="Cambria" w:hAnsi="Cambria" w:cs="Cambria"/>
          <w:color w:val="000000" w:themeColor="text1"/>
        </w:rPr>
        <w:t xml:space="preserve"> is writing regarding its concern about the implications of the Census Bureau’s finalized rule removing the terms “urbanized area” and “urbanized cluster,” and the</w:t>
      </w:r>
      <w:r w:rsidR="009F6E5F">
        <w:rPr>
          <w:rFonts w:ascii="Cambria" w:eastAsia="Cambria" w:hAnsi="Cambria" w:cs="Cambria"/>
          <w:color w:val="000000" w:themeColor="text1"/>
        </w:rPr>
        <w:t xml:space="preserve"> subsequent</w:t>
      </w:r>
      <w:r w:rsidR="00CE224B" w:rsidRPr="0012307A">
        <w:rPr>
          <w:rFonts w:ascii="Cambria" w:eastAsia="Cambria" w:hAnsi="Cambria" w:cs="Cambria"/>
          <w:color w:val="000000" w:themeColor="text1"/>
        </w:rPr>
        <w:t xml:space="preserve"> publication of the 2020 Census Qualifying Urban Areas list.</w:t>
      </w:r>
      <w:r w:rsidR="00CE224B" w:rsidRPr="0012307A">
        <w:rPr>
          <w:rStyle w:val="FootnoteReference"/>
          <w:rFonts w:ascii="Cambria" w:eastAsia="Cambria" w:hAnsi="Cambria" w:cs="Cambria"/>
          <w:color w:val="000000" w:themeColor="text1"/>
        </w:rPr>
        <w:footnoteReference w:id="1"/>
      </w:r>
      <w:r w:rsidR="00CE224B" w:rsidRPr="0012307A">
        <w:rPr>
          <w:rFonts w:ascii="Cambria" w:eastAsia="Cambria" w:hAnsi="Cambria" w:cs="Cambria"/>
          <w:color w:val="000000" w:themeColor="text1"/>
        </w:rPr>
        <w:t xml:space="preserve"> Th</w:t>
      </w:r>
      <w:r w:rsidR="0012307A" w:rsidRPr="0012307A">
        <w:rPr>
          <w:rFonts w:ascii="Cambria" w:eastAsia="Cambria" w:hAnsi="Cambria" w:cs="Cambria"/>
          <w:color w:val="000000" w:themeColor="text1"/>
        </w:rPr>
        <w:t>is</w:t>
      </w:r>
      <w:r w:rsidR="00CE224B" w:rsidRPr="0012307A">
        <w:rPr>
          <w:rFonts w:ascii="Cambria" w:eastAsia="Cambria" w:hAnsi="Cambria" w:cs="Cambria"/>
          <w:color w:val="000000" w:themeColor="text1"/>
        </w:rPr>
        <w:t xml:space="preserve"> change by the Census Bureau ha</w:t>
      </w:r>
      <w:r w:rsidR="0012307A" w:rsidRPr="0012307A">
        <w:rPr>
          <w:rFonts w:ascii="Cambria" w:eastAsia="Cambria" w:hAnsi="Cambria" w:cs="Cambria"/>
          <w:color w:val="000000" w:themeColor="text1"/>
        </w:rPr>
        <w:t>s</w:t>
      </w:r>
      <w:r w:rsidR="00CE224B" w:rsidRPr="0012307A">
        <w:rPr>
          <w:rFonts w:ascii="Cambria" w:eastAsia="Cambria" w:hAnsi="Cambria" w:cs="Cambria"/>
          <w:color w:val="000000" w:themeColor="text1"/>
        </w:rPr>
        <w:t xml:space="preserve"> an unintended but significant impact on rural health clinics (RHCs). </w:t>
      </w:r>
      <w:r>
        <w:rPr>
          <w:rFonts w:ascii="Cambria" w:eastAsia="Cambria" w:hAnsi="Cambria" w:cs="Cambria"/>
          <w:b/>
          <w:bCs/>
          <w:color w:val="000000" w:themeColor="text1"/>
        </w:rPr>
        <w:t>We ask</w:t>
      </w:r>
      <w:r w:rsidR="003A4399" w:rsidRPr="005C4817">
        <w:rPr>
          <w:rFonts w:ascii="Cambria" w:eastAsia="Cambria" w:hAnsi="Cambria" w:cs="Cambria"/>
          <w:b/>
          <w:bCs/>
          <w:color w:val="000000" w:themeColor="text1"/>
        </w:rPr>
        <w:t xml:space="preserve"> that CMS publish guidance on how it plans to determine</w:t>
      </w:r>
      <w:r w:rsidR="005C4817" w:rsidRPr="005C4817">
        <w:rPr>
          <w:rFonts w:ascii="Cambria" w:eastAsia="Cambria" w:hAnsi="Cambria" w:cs="Cambria"/>
          <w:b/>
          <w:bCs/>
          <w:color w:val="000000" w:themeColor="text1"/>
        </w:rPr>
        <w:t xml:space="preserve"> RHC</w:t>
      </w:r>
      <w:r w:rsidR="003A4399" w:rsidRPr="005C4817">
        <w:rPr>
          <w:rFonts w:ascii="Cambria" w:eastAsia="Cambria" w:hAnsi="Cambria" w:cs="Cambria"/>
          <w:b/>
          <w:bCs/>
          <w:color w:val="000000" w:themeColor="text1"/>
        </w:rPr>
        <w:t xml:space="preserve"> eligiblity given the Census Bureau’s policy change regarding urban areas</w:t>
      </w:r>
      <w:r w:rsidR="005C4817">
        <w:rPr>
          <w:rFonts w:ascii="Cambria" w:eastAsia="Cambria" w:hAnsi="Cambria" w:cs="Cambria"/>
          <w:b/>
          <w:bCs/>
          <w:color w:val="000000" w:themeColor="text1"/>
        </w:rPr>
        <w:t xml:space="preserve"> and urges CMS to preserve the status quo</w:t>
      </w:r>
      <w:r w:rsidR="003A4399" w:rsidRPr="005C4817">
        <w:rPr>
          <w:rFonts w:ascii="Cambria" w:eastAsia="Cambria" w:hAnsi="Cambria" w:cs="Cambria"/>
          <w:b/>
          <w:bCs/>
          <w:color w:val="000000" w:themeColor="text1"/>
        </w:rPr>
        <w:t>.</w:t>
      </w:r>
    </w:p>
    <w:p w14:paraId="64F7FD5F" w14:textId="77777777" w:rsidR="003B1FD0" w:rsidRPr="0012307A" w:rsidRDefault="003B1FD0" w:rsidP="001B4DA6">
      <w:pPr>
        <w:spacing w:after="0" w:line="240" w:lineRule="auto"/>
        <w:jc w:val="both"/>
        <w:rPr>
          <w:rFonts w:ascii="Cambria" w:hAnsi="Cambria"/>
        </w:rPr>
      </w:pPr>
    </w:p>
    <w:p w14:paraId="08256164" w14:textId="19F4B461" w:rsidR="0012307A" w:rsidRDefault="0012307A" w:rsidP="001B4DA6">
      <w:pPr>
        <w:spacing w:after="0" w:line="240" w:lineRule="auto"/>
        <w:jc w:val="both"/>
        <w:rPr>
          <w:rFonts w:ascii="Cambria" w:hAnsi="Cambria"/>
        </w:rPr>
      </w:pPr>
      <w:r w:rsidRPr="001B4DA6">
        <w:rPr>
          <w:rFonts w:ascii="Cambria" w:hAnsi="Cambria"/>
          <w:highlight w:val="yellow"/>
        </w:rPr>
        <w:t xml:space="preserve">[Include brief paragraph </w:t>
      </w:r>
      <w:r w:rsidR="00016FDC">
        <w:rPr>
          <w:rFonts w:ascii="Cambria" w:hAnsi="Cambria"/>
          <w:highlight w:val="yellow"/>
        </w:rPr>
        <w:t>describing your organization.</w:t>
      </w:r>
      <w:r w:rsidRPr="001B4DA6">
        <w:rPr>
          <w:rFonts w:ascii="Cambria" w:hAnsi="Cambria"/>
          <w:highlight w:val="yellow"/>
        </w:rPr>
        <w:t>]</w:t>
      </w:r>
    </w:p>
    <w:p w14:paraId="15361F6E" w14:textId="77777777" w:rsidR="001B4DA6" w:rsidRDefault="001B4DA6" w:rsidP="001B4DA6">
      <w:pPr>
        <w:spacing w:line="240" w:lineRule="auto"/>
        <w:jc w:val="both"/>
        <w:rPr>
          <w:rFonts w:ascii="Cambria" w:hAnsi="Cambria"/>
        </w:rPr>
      </w:pPr>
    </w:p>
    <w:p w14:paraId="7BAA2D4E" w14:textId="2324F65C" w:rsidR="00FD1438" w:rsidRDefault="00746E7C" w:rsidP="00DC2331">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The RHC statute states that “</w:t>
      </w:r>
      <w:r w:rsidR="00635DC7">
        <w:rPr>
          <w:rFonts w:ascii="Cambria" w:eastAsia="Cambria" w:hAnsi="Cambria" w:cs="Cambria"/>
          <w:color w:val="000000" w:themeColor="text1"/>
        </w:rPr>
        <w:t xml:space="preserve">the term </w:t>
      </w:r>
      <w:r>
        <w:rPr>
          <w:rFonts w:ascii="Cambria" w:eastAsia="Cambria" w:hAnsi="Cambria" w:cs="Cambria"/>
          <w:color w:val="000000" w:themeColor="text1"/>
        </w:rPr>
        <w:t xml:space="preserve">[rural health clinics] </w:t>
      </w:r>
      <w:r w:rsidRPr="00746E7C">
        <w:rPr>
          <w:rFonts w:ascii="Cambria" w:eastAsia="Cambria" w:hAnsi="Cambria" w:cs="Cambria"/>
          <w:color w:val="000000" w:themeColor="text1"/>
        </w:rPr>
        <w:t>includes only a facility which (</w:t>
      </w:r>
      <w:proofErr w:type="spellStart"/>
      <w:r w:rsidRPr="00746E7C">
        <w:rPr>
          <w:rFonts w:ascii="Cambria" w:eastAsia="Cambria" w:hAnsi="Cambria" w:cs="Cambria"/>
          <w:color w:val="000000" w:themeColor="text1"/>
        </w:rPr>
        <w:t>i</w:t>
      </w:r>
      <w:proofErr w:type="spellEnd"/>
      <w:r w:rsidRPr="00746E7C">
        <w:rPr>
          <w:rFonts w:ascii="Cambria" w:eastAsia="Cambria" w:hAnsi="Cambria" w:cs="Cambria"/>
          <w:color w:val="000000" w:themeColor="text1"/>
        </w:rPr>
        <w:t xml:space="preserve">) </w:t>
      </w:r>
      <w:r w:rsidRPr="005C4817">
        <w:rPr>
          <w:rFonts w:ascii="Cambria" w:eastAsia="Cambria" w:hAnsi="Cambria" w:cs="Cambria"/>
          <w:i/>
          <w:iCs/>
          <w:color w:val="000000" w:themeColor="text1"/>
        </w:rPr>
        <w:t>is located in an area that is not an urbanized area (as defined by the Bureau of the Census)</w:t>
      </w:r>
      <w:r w:rsidR="00AB6ACB">
        <w:rPr>
          <w:rFonts w:ascii="Cambria" w:eastAsia="Cambria" w:hAnsi="Cambria" w:cs="Cambria"/>
          <w:color w:val="000000" w:themeColor="text1"/>
        </w:rPr>
        <w:t>.”</w:t>
      </w:r>
      <w:r w:rsidR="00AB6ACB">
        <w:rPr>
          <w:rStyle w:val="FootnoteReference"/>
          <w:rFonts w:ascii="Cambria" w:eastAsia="Cambria" w:hAnsi="Cambria" w:cs="Cambria"/>
          <w:color w:val="000000" w:themeColor="text1"/>
        </w:rPr>
        <w:footnoteReference w:id="2"/>
      </w:r>
      <w:r w:rsidR="003229B4">
        <w:rPr>
          <w:rFonts w:ascii="Cambria" w:eastAsia="Cambria" w:hAnsi="Cambria" w:cs="Cambria"/>
          <w:color w:val="000000" w:themeColor="text1"/>
        </w:rPr>
        <w:t xml:space="preserve"> Accordingly, RHC regulations require that RHCs are located in</w:t>
      </w:r>
      <w:r w:rsidR="00DC2331" w:rsidRPr="5E53A621">
        <w:rPr>
          <w:rFonts w:ascii="Cambria" w:eastAsia="Cambria" w:hAnsi="Cambria" w:cs="Cambria"/>
          <w:color w:val="000000" w:themeColor="text1"/>
        </w:rPr>
        <w:t xml:space="preserve"> “</w:t>
      </w:r>
      <w:r w:rsidR="00DC2331" w:rsidRPr="66885177">
        <w:rPr>
          <w:rFonts w:ascii="Cambria" w:eastAsia="Cambria" w:hAnsi="Cambria" w:cs="Cambria"/>
        </w:rPr>
        <w:t xml:space="preserve">an area that is </w:t>
      </w:r>
      <w:r w:rsidR="00DC2331" w:rsidRPr="005C4817">
        <w:rPr>
          <w:rFonts w:ascii="Cambria" w:eastAsia="Cambria" w:hAnsi="Cambria" w:cs="Cambria"/>
          <w:i/>
          <w:iCs/>
        </w:rPr>
        <w:t>not delineated as an urbanized area by the Bureau of the Census</w:t>
      </w:r>
      <w:r w:rsidR="00DC2331" w:rsidRPr="66885177">
        <w:rPr>
          <w:rFonts w:ascii="Cambria" w:eastAsia="Cambria" w:hAnsi="Cambria" w:cs="Cambria"/>
        </w:rPr>
        <w:t>.</w:t>
      </w:r>
      <w:r w:rsidR="00DC2331" w:rsidRPr="5E53A621">
        <w:rPr>
          <w:rFonts w:ascii="Cambria" w:eastAsia="Cambria" w:hAnsi="Cambria" w:cs="Cambria"/>
          <w:color w:val="000000" w:themeColor="text1"/>
        </w:rPr>
        <w:t>”</w:t>
      </w:r>
      <w:r w:rsidR="00DC2331" w:rsidRPr="5E53A621">
        <w:rPr>
          <w:rStyle w:val="FootnoteReference"/>
          <w:rFonts w:ascii="Cambria" w:eastAsia="Cambria" w:hAnsi="Cambria" w:cs="Cambria"/>
          <w:color w:val="000000" w:themeColor="text1"/>
        </w:rPr>
        <w:footnoteReference w:id="3"/>
      </w:r>
      <w:r w:rsidR="00DC2331">
        <w:rPr>
          <w:rFonts w:ascii="Cambria" w:eastAsia="Cambria" w:hAnsi="Cambria" w:cs="Cambria"/>
          <w:color w:val="000000" w:themeColor="text1"/>
        </w:rPr>
        <w:t xml:space="preserve"> </w:t>
      </w:r>
      <w:r w:rsidR="00A27F40">
        <w:rPr>
          <w:rFonts w:ascii="Cambria" w:eastAsia="Cambria" w:hAnsi="Cambria" w:cs="Cambria"/>
          <w:color w:val="000000" w:themeColor="text1"/>
        </w:rPr>
        <w:t>Historically, the Census has defined urbanized area as those with a population of 50,000 or more</w:t>
      </w:r>
      <w:r w:rsidR="00243BCA">
        <w:rPr>
          <w:rFonts w:ascii="Cambria" w:eastAsia="Cambria" w:hAnsi="Cambria" w:cs="Cambria"/>
          <w:color w:val="000000" w:themeColor="text1"/>
        </w:rPr>
        <w:t>.</w:t>
      </w:r>
    </w:p>
    <w:p w14:paraId="69A00104" w14:textId="77777777" w:rsidR="00FD1438" w:rsidRDefault="00FD1438" w:rsidP="00DC2331">
      <w:pPr>
        <w:spacing w:after="0" w:line="240" w:lineRule="auto"/>
        <w:jc w:val="both"/>
        <w:rPr>
          <w:rFonts w:ascii="Cambria" w:eastAsia="Cambria" w:hAnsi="Cambria" w:cs="Cambria"/>
          <w:color w:val="000000" w:themeColor="text1"/>
        </w:rPr>
      </w:pPr>
    </w:p>
    <w:p w14:paraId="479D9D43" w14:textId="0167D83E" w:rsidR="00307BF8" w:rsidRDefault="00DC2331" w:rsidP="00DC2331">
      <w:pPr>
        <w:spacing w:after="0" w:line="240" w:lineRule="auto"/>
        <w:jc w:val="both"/>
        <w:rPr>
          <w:rFonts w:ascii="Cambria" w:eastAsia="Cambria" w:hAnsi="Cambria" w:cs="Cambria"/>
          <w:color w:val="000000" w:themeColor="text1"/>
        </w:rPr>
      </w:pPr>
      <w:r w:rsidRPr="5E53A621">
        <w:rPr>
          <w:rFonts w:ascii="Cambria" w:eastAsia="Cambria" w:hAnsi="Cambria" w:cs="Cambria"/>
          <w:color w:val="000000" w:themeColor="text1"/>
        </w:rPr>
        <w:t>The Census</w:t>
      </w:r>
      <w:r>
        <w:rPr>
          <w:rFonts w:ascii="Cambria" w:eastAsia="Cambria" w:hAnsi="Cambria" w:cs="Cambria"/>
          <w:color w:val="000000" w:themeColor="text1"/>
        </w:rPr>
        <w:t xml:space="preserve"> Bureau</w:t>
      </w:r>
      <w:r w:rsidRPr="5E53A621">
        <w:rPr>
          <w:rFonts w:ascii="Cambria" w:eastAsia="Cambria" w:hAnsi="Cambria" w:cs="Cambria"/>
          <w:color w:val="000000" w:themeColor="text1"/>
        </w:rPr>
        <w:t>’</w:t>
      </w:r>
      <w:r>
        <w:rPr>
          <w:rFonts w:ascii="Cambria" w:eastAsia="Cambria" w:hAnsi="Cambria" w:cs="Cambria"/>
          <w:color w:val="000000" w:themeColor="text1"/>
        </w:rPr>
        <w:t>s</w:t>
      </w:r>
      <w:r w:rsidRPr="5E53A621">
        <w:rPr>
          <w:rFonts w:ascii="Cambria" w:eastAsia="Cambria" w:hAnsi="Cambria" w:cs="Cambria"/>
          <w:color w:val="000000" w:themeColor="text1"/>
        </w:rPr>
        <w:t xml:space="preserve"> final policy for Urban Area Criteria</w:t>
      </w:r>
      <w:r>
        <w:rPr>
          <w:rFonts w:ascii="Cambria" w:eastAsia="Cambria" w:hAnsi="Cambria" w:cs="Cambria"/>
          <w:color w:val="000000" w:themeColor="text1"/>
        </w:rPr>
        <w:t>, published in March 2022,</w:t>
      </w:r>
      <w:r w:rsidRPr="5E53A621">
        <w:rPr>
          <w:rFonts w:ascii="Cambria" w:eastAsia="Cambria" w:hAnsi="Cambria" w:cs="Cambria"/>
          <w:color w:val="000000" w:themeColor="text1"/>
        </w:rPr>
        <w:t xml:space="preserve"> remove</w:t>
      </w:r>
      <w:r>
        <w:rPr>
          <w:rFonts w:ascii="Cambria" w:eastAsia="Cambria" w:hAnsi="Cambria" w:cs="Cambria"/>
          <w:color w:val="000000" w:themeColor="text1"/>
        </w:rPr>
        <w:t>d</w:t>
      </w:r>
      <w:r w:rsidRPr="5E53A621">
        <w:rPr>
          <w:rFonts w:ascii="Cambria" w:eastAsia="Cambria" w:hAnsi="Cambria" w:cs="Cambria"/>
          <w:color w:val="000000" w:themeColor="text1"/>
        </w:rPr>
        <w:t xml:space="preserve"> two important terms that have an unintended impact upon RHC eligibility criteria. The Census removed two types of urban areas</w:t>
      </w:r>
      <w:r>
        <w:rPr>
          <w:rFonts w:ascii="Cambria" w:eastAsia="Cambria" w:hAnsi="Cambria" w:cs="Cambria"/>
          <w:color w:val="000000" w:themeColor="text1"/>
        </w:rPr>
        <w:t xml:space="preserve"> – </w:t>
      </w:r>
      <w:r w:rsidRPr="5E53A621">
        <w:rPr>
          <w:rFonts w:ascii="Cambria" w:eastAsia="Cambria" w:hAnsi="Cambria" w:cs="Cambria"/>
          <w:color w:val="000000" w:themeColor="text1"/>
        </w:rPr>
        <w:t xml:space="preserve">“urbanized area” and “urbanized cluster” </w:t>
      </w:r>
      <w:r>
        <w:rPr>
          <w:rFonts w:ascii="Cambria" w:eastAsia="Cambria" w:hAnsi="Cambria" w:cs="Cambria"/>
          <w:color w:val="000000" w:themeColor="text1"/>
        </w:rPr>
        <w:t xml:space="preserve">– </w:t>
      </w:r>
      <w:r w:rsidRPr="5E53A621">
        <w:rPr>
          <w:rFonts w:ascii="Cambria" w:eastAsia="Cambria" w:hAnsi="Cambria" w:cs="Cambria"/>
          <w:color w:val="000000" w:themeColor="text1"/>
        </w:rPr>
        <w:t>and combined the two to create a single designation termed “urban area.”</w:t>
      </w:r>
      <w:r w:rsidRPr="5E53A621">
        <w:rPr>
          <w:rStyle w:val="FootnoteReference"/>
          <w:rFonts w:ascii="Cambria" w:eastAsia="Cambria" w:hAnsi="Cambria" w:cs="Cambria"/>
          <w:color w:val="000000" w:themeColor="text1"/>
        </w:rPr>
        <w:footnoteReference w:id="4"/>
      </w:r>
      <w:r w:rsidRPr="5E53A621">
        <w:rPr>
          <w:rFonts w:ascii="Cambria" w:eastAsia="Cambria" w:hAnsi="Cambria" w:cs="Cambria"/>
          <w:color w:val="000000" w:themeColor="text1"/>
        </w:rPr>
        <w:t xml:space="preserve"> </w:t>
      </w:r>
      <w:r>
        <w:rPr>
          <w:rFonts w:ascii="Cambria" w:eastAsia="Cambria" w:hAnsi="Cambria" w:cs="Cambria"/>
          <w:color w:val="000000" w:themeColor="text1"/>
        </w:rPr>
        <w:t xml:space="preserve"> </w:t>
      </w:r>
      <w:r w:rsidR="00307BF8">
        <w:rPr>
          <w:rFonts w:ascii="Cambria" w:eastAsia="Cambria" w:hAnsi="Cambria" w:cs="Cambria"/>
          <w:color w:val="000000" w:themeColor="text1"/>
        </w:rPr>
        <w:t>An urban area is now an area with a population of more than 5,000.</w:t>
      </w:r>
    </w:p>
    <w:p w14:paraId="137E2888" w14:textId="77777777" w:rsidR="00307BF8" w:rsidRDefault="00307BF8" w:rsidP="00DC2331">
      <w:pPr>
        <w:spacing w:after="0" w:line="240" w:lineRule="auto"/>
        <w:jc w:val="both"/>
        <w:rPr>
          <w:rFonts w:ascii="Cambria" w:eastAsia="Cambria" w:hAnsi="Cambria" w:cs="Cambria"/>
          <w:color w:val="000000" w:themeColor="text1"/>
        </w:rPr>
      </w:pPr>
    </w:p>
    <w:p w14:paraId="5592B74C" w14:textId="77777777" w:rsidR="00016FDC" w:rsidRDefault="007C0785" w:rsidP="00DC2331">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The Census’ policy change creates a two-fold problem for interpreting CMS’ RHC regulations. First, the “urbanized area” term in the regulations no longer exists for purposes of determining RHC eligiblity, so it is unclear how RHC eligiblity will be determined moving forward. Second, p</w:t>
      </w:r>
      <w:r w:rsidR="00DC2331">
        <w:rPr>
          <w:rFonts w:ascii="Cambria" w:eastAsia="Cambria" w:hAnsi="Cambria" w:cs="Cambria"/>
          <w:color w:val="000000" w:themeColor="text1"/>
        </w:rPr>
        <w:t>er the new Census criteria</w:t>
      </w:r>
      <w:r>
        <w:rPr>
          <w:rFonts w:ascii="Cambria" w:eastAsia="Cambria" w:hAnsi="Cambria" w:cs="Cambria"/>
          <w:color w:val="000000" w:themeColor="text1"/>
        </w:rPr>
        <w:t>,</w:t>
      </w:r>
      <w:r w:rsidR="00DC2331">
        <w:rPr>
          <w:rFonts w:ascii="Cambria" w:eastAsia="Cambria" w:hAnsi="Cambria" w:cs="Cambria"/>
          <w:color w:val="000000" w:themeColor="text1"/>
        </w:rPr>
        <w:t xml:space="preserve"> a</w:t>
      </w:r>
      <w:r w:rsidR="00DC2331" w:rsidRPr="5E53A621">
        <w:rPr>
          <w:rFonts w:ascii="Cambria" w:eastAsia="Cambria" w:hAnsi="Cambria" w:cs="Cambria"/>
          <w:color w:val="000000" w:themeColor="text1"/>
        </w:rPr>
        <w:t>n urban area is that with a population of 5,000 or more</w:t>
      </w:r>
      <w:r w:rsidR="00DC2331">
        <w:rPr>
          <w:rFonts w:ascii="Cambria" w:eastAsia="Cambria" w:hAnsi="Cambria" w:cs="Cambria"/>
          <w:color w:val="000000" w:themeColor="text1"/>
        </w:rPr>
        <w:t xml:space="preserve"> and thus</w:t>
      </w:r>
      <w:r w:rsidR="00DC2331" w:rsidRPr="5E53A621">
        <w:rPr>
          <w:rFonts w:ascii="Cambria" w:eastAsia="Cambria" w:hAnsi="Cambria" w:cs="Cambria"/>
          <w:color w:val="000000" w:themeColor="text1"/>
        </w:rPr>
        <w:t xml:space="preserve"> rural means any area that falls outside of the urban area definition</w:t>
      </w:r>
      <w:r w:rsidR="00DC2331">
        <w:rPr>
          <w:rFonts w:ascii="Cambria" w:eastAsia="Cambria" w:hAnsi="Cambria" w:cs="Cambria"/>
          <w:color w:val="000000" w:themeColor="text1"/>
        </w:rPr>
        <w:t xml:space="preserve"> and has a population of less than 5,000</w:t>
      </w:r>
      <w:r w:rsidR="00DC2331" w:rsidRPr="5E53A621">
        <w:rPr>
          <w:rFonts w:ascii="Cambria" w:eastAsia="Cambria" w:hAnsi="Cambria" w:cs="Cambria"/>
          <w:color w:val="000000" w:themeColor="text1"/>
        </w:rPr>
        <w:t>.</w:t>
      </w:r>
      <w:r w:rsidR="00DC2331" w:rsidRPr="5E53A621">
        <w:rPr>
          <w:rStyle w:val="FootnoteReference"/>
          <w:rFonts w:ascii="Cambria" w:eastAsia="Cambria" w:hAnsi="Cambria" w:cs="Cambria"/>
          <w:color w:val="000000" w:themeColor="text1"/>
        </w:rPr>
        <w:footnoteReference w:id="5"/>
      </w:r>
      <w:r w:rsidR="00DC2331" w:rsidRPr="5E53A621">
        <w:rPr>
          <w:rFonts w:ascii="Cambria" w:eastAsia="Cambria" w:hAnsi="Cambria" w:cs="Cambria"/>
          <w:color w:val="000000" w:themeColor="text1"/>
        </w:rPr>
        <w:t xml:space="preserve"> </w:t>
      </w:r>
      <w:r w:rsidR="004138A9">
        <w:rPr>
          <w:rFonts w:ascii="Cambria" w:eastAsia="Cambria" w:hAnsi="Cambria" w:cs="Cambria"/>
          <w:color w:val="000000" w:themeColor="text1"/>
        </w:rPr>
        <w:t>This is a drastic change from the previous 50,000 threshold</w:t>
      </w:r>
      <w:r w:rsidR="00364BA1">
        <w:rPr>
          <w:rFonts w:ascii="Cambria" w:eastAsia="Cambria" w:hAnsi="Cambria" w:cs="Cambria"/>
          <w:color w:val="000000" w:themeColor="text1"/>
        </w:rPr>
        <w:t xml:space="preserve"> as evidenced by the December 2022 list of new urban areas that now includes </w:t>
      </w:r>
      <w:r w:rsidR="00535C86">
        <w:rPr>
          <w:rFonts w:ascii="Cambria" w:eastAsia="Cambria" w:hAnsi="Cambria" w:cs="Cambria"/>
          <w:color w:val="000000" w:themeColor="text1"/>
        </w:rPr>
        <w:t>traditionally rural areas.</w:t>
      </w:r>
      <w:r w:rsidR="00F36B9F">
        <w:rPr>
          <w:rFonts w:ascii="Cambria" w:eastAsia="Cambria" w:hAnsi="Cambria" w:cs="Cambria"/>
          <w:color w:val="000000" w:themeColor="text1"/>
        </w:rPr>
        <w:t xml:space="preserve"> </w:t>
      </w:r>
    </w:p>
    <w:p w14:paraId="17F8F1EC" w14:textId="77777777" w:rsidR="00016FDC" w:rsidRDefault="00016FDC" w:rsidP="00DC2331">
      <w:pPr>
        <w:spacing w:after="0" w:line="240" w:lineRule="auto"/>
        <w:jc w:val="both"/>
        <w:rPr>
          <w:rFonts w:ascii="Cambria" w:eastAsia="Cambria" w:hAnsi="Cambria" w:cs="Cambria"/>
          <w:color w:val="000000" w:themeColor="text1"/>
        </w:rPr>
      </w:pPr>
    </w:p>
    <w:p w14:paraId="1220E419" w14:textId="512CBE76" w:rsidR="00444B63" w:rsidRDefault="00531C2C" w:rsidP="00DC2331">
      <w:pPr>
        <w:spacing w:after="0" w:line="240" w:lineRule="auto"/>
        <w:jc w:val="both"/>
        <w:rPr>
          <w:rFonts w:ascii="Cambria" w:eastAsia="Cambria" w:hAnsi="Cambria" w:cs="Cambria"/>
          <w:color w:val="000000" w:themeColor="text1"/>
        </w:rPr>
      </w:pPr>
      <w:r w:rsidRPr="00531C2C">
        <w:rPr>
          <w:rFonts w:ascii="Cambria" w:eastAsia="Cambria" w:hAnsi="Cambria" w:cs="Cambria"/>
          <w:color w:val="000000" w:themeColor="text1"/>
          <w:highlight w:val="yellow"/>
        </w:rPr>
        <w:t>[</w:t>
      </w:r>
      <w:r w:rsidR="00016FDC">
        <w:rPr>
          <w:rFonts w:ascii="Cambria" w:eastAsia="Cambria" w:hAnsi="Cambria" w:cs="Cambria"/>
          <w:color w:val="000000" w:themeColor="text1"/>
          <w:highlight w:val="yellow"/>
        </w:rPr>
        <w:t>Add</w:t>
      </w:r>
      <w:r w:rsidRPr="00531C2C">
        <w:rPr>
          <w:rFonts w:ascii="Cambria" w:eastAsia="Cambria" w:hAnsi="Cambria" w:cs="Cambria"/>
          <w:color w:val="000000" w:themeColor="text1"/>
          <w:highlight w:val="yellow"/>
        </w:rPr>
        <w:t xml:space="preserve"> examples of rural towns that are now considered urban</w:t>
      </w:r>
      <w:r w:rsidR="00016FDC">
        <w:rPr>
          <w:rFonts w:ascii="Cambria" w:eastAsia="Cambria" w:hAnsi="Cambria" w:cs="Cambria"/>
          <w:color w:val="000000" w:themeColor="text1"/>
          <w:highlight w:val="yellow"/>
        </w:rPr>
        <w:t xml:space="preserve"> in your state</w:t>
      </w:r>
      <w:r w:rsidRPr="00531C2C">
        <w:rPr>
          <w:rFonts w:ascii="Cambria" w:eastAsia="Cambria" w:hAnsi="Cambria" w:cs="Cambria"/>
          <w:color w:val="000000" w:themeColor="text1"/>
          <w:highlight w:val="yellow"/>
        </w:rPr>
        <w:t>.</w:t>
      </w:r>
      <w:r w:rsidR="00016FDC">
        <w:rPr>
          <w:rFonts w:ascii="Cambria" w:eastAsia="Cambria" w:hAnsi="Cambria" w:cs="Cambria"/>
          <w:color w:val="000000" w:themeColor="text1"/>
          <w:highlight w:val="yellow"/>
        </w:rPr>
        <w:t xml:space="preserve"> You can find the list of “urban areas” </w:t>
      </w:r>
      <w:hyperlink r:id="rId9" w:history="1">
        <w:r w:rsidR="00016FDC" w:rsidRPr="000F0764">
          <w:rPr>
            <w:rStyle w:val="Hyperlink"/>
            <w:rFonts w:ascii="Cambria" w:eastAsia="Cambria" w:hAnsi="Cambria" w:cs="Cambria"/>
            <w:highlight w:val="yellow"/>
          </w:rPr>
          <w:t>here</w:t>
        </w:r>
      </w:hyperlink>
      <w:r w:rsidR="00016FDC">
        <w:rPr>
          <w:rFonts w:ascii="Cambria" w:eastAsia="Cambria" w:hAnsi="Cambria" w:cs="Cambria"/>
          <w:color w:val="000000" w:themeColor="text1"/>
          <w:highlight w:val="yellow"/>
        </w:rPr>
        <w:t>.</w:t>
      </w:r>
      <w:r w:rsidRPr="00531C2C">
        <w:rPr>
          <w:rFonts w:ascii="Cambria" w:eastAsia="Cambria" w:hAnsi="Cambria" w:cs="Cambria"/>
          <w:color w:val="000000" w:themeColor="text1"/>
          <w:highlight w:val="yellow"/>
        </w:rPr>
        <w:t>]</w:t>
      </w:r>
    </w:p>
    <w:p w14:paraId="0408CCC7" w14:textId="77777777" w:rsidR="00444B63" w:rsidRDefault="00444B63" w:rsidP="00DC2331">
      <w:pPr>
        <w:spacing w:after="0" w:line="240" w:lineRule="auto"/>
        <w:jc w:val="both"/>
        <w:rPr>
          <w:rFonts w:ascii="Cambria" w:eastAsia="Cambria" w:hAnsi="Cambria" w:cs="Cambria"/>
          <w:color w:val="000000" w:themeColor="text1"/>
        </w:rPr>
      </w:pPr>
    </w:p>
    <w:p w14:paraId="4C797CCB" w14:textId="706CB428" w:rsidR="00E17D45" w:rsidRDefault="00F36B9F" w:rsidP="00DC2331">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lastRenderedPageBreak/>
        <w:t>We are disappointed in the silence from CMS on how it will handle RHC eligiblity since the Census Bureau’s new policy on urban areas has been out for one year.</w:t>
      </w:r>
      <w:r w:rsidR="00444B63">
        <w:rPr>
          <w:rFonts w:ascii="Cambria" w:eastAsia="Cambria" w:hAnsi="Cambria" w:cs="Cambria"/>
          <w:color w:val="000000" w:themeColor="text1"/>
        </w:rPr>
        <w:t xml:space="preserve"> </w:t>
      </w:r>
      <w:r w:rsidR="00E17D45" w:rsidRPr="001072F3">
        <w:rPr>
          <w:rFonts w:ascii="Cambria" w:eastAsia="Cambria" w:hAnsi="Cambria" w:cs="Cambria"/>
          <w:b/>
          <w:bCs/>
          <w:color w:val="000000" w:themeColor="text1"/>
        </w:rPr>
        <w:t xml:space="preserve">This policy change by the Census Bureau leaves RHCs </w:t>
      </w:r>
      <w:r w:rsidR="00B806BA" w:rsidRPr="001072F3">
        <w:rPr>
          <w:rFonts w:ascii="Cambria" w:eastAsia="Cambria" w:hAnsi="Cambria" w:cs="Cambria"/>
          <w:b/>
          <w:bCs/>
          <w:color w:val="000000" w:themeColor="text1"/>
        </w:rPr>
        <w:t>without clear guidance on how to move forward.</w:t>
      </w:r>
      <w:r w:rsidR="00B806BA">
        <w:rPr>
          <w:rFonts w:ascii="Cambria" w:eastAsia="Cambria" w:hAnsi="Cambria" w:cs="Cambria"/>
          <w:color w:val="000000" w:themeColor="text1"/>
        </w:rPr>
        <w:t xml:space="preserve"> RHCs that </w:t>
      </w:r>
      <w:r w:rsidR="003C4F13">
        <w:rPr>
          <w:rFonts w:ascii="Cambria" w:eastAsia="Cambria" w:hAnsi="Cambria" w:cs="Cambria"/>
          <w:color w:val="000000" w:themeColor="text1"/>
        </w:rPr>
        <w:t>began</w:t>
      </w:r>
      <w:r w:rsidR="00A6438D">
        <w:rPr>
          <w:rFonts w:ascii="Cambria" w:eastAsia="Cambria" w:hAnsi="Cambria" w:cs="Cambria"/>
          <w:color w:val="000000" w:themeColor="text1"/>
        </w:rPr>
        <w:t xml:space="preserve"> </w:t>
      </w:r>
      <w:proofErr w:type="gramStart"/>
      <w:r w:rsidR="001072F3">
        <w:rPr>
          <w:rFonts w:ascii="Cambria" w:eastAsia="Cambria" w:hAnsi="Cambria" w:cs="Cambria"/>
          <w:color w:val="000000" w:themeColor="text1"/>
        </w:rPr>
        <w:t>construction</w:t>
      </w:r>
      <w:proofErr w:type="gramEnd"/>
      <w:r w:rsidR="001072F3">
        <w:rPr>
          <w:rFonts w:ascii="Cambria" w:eastAsia="Cambria" w:hAnsi="Cambria" w:cs="Cambria"/>
          <w:color w:val="000000" w:themeColor="text1"/>
        </w:rPr>
        <w:t xml:space="preserve"> </w:t>
      </w:r>
      <w:r w:rsidR="00A6438D">
        <w:rPr>
          <w:rFonts w:ascii="Cambria" w:eastAsia="Cambria" w:hAnsi="Cambria" w:cs="Cambria"/>
          <w:color w:val="000000" w:themeColor="text1"/>
        </w:rPr>
        <w:t xml:space="preserve">or the certification process predicated on eligibility from </w:t>
      </w:r>
      <w:r w:rsidR="00364BA1">
        <w:rPr>
          <w:rFonts w:ascii="Cambria" w:eastAsia="Cambria" w:hAnsi="Cambria" w:cs="Cambria"/>
          <w:color w:val="000000" w:themeColor="text1"/>
        </w:rPr>
        <w:t xml:space="preserve">before the December 2022 </w:t>
      </w:r>
      <w:r w:rsidR="00F80615">
        <w:rPr>
          <w:rFonts w:ascii="Cambria" w:eastAsia="Cambria" w:hAnsi="Cambria" w:cs="Cambria"/>
          <w:color w:val="000000" w:themeColor="text1"/>
        </w:rPr>
        <w:t>Qualifying Areas publication</w:t>
      </w:r>
      <w:r w:rsidR="00653269">
        <w:rPr>
          <w:rFonts w:ascii="Cambria" w:eastAsia="Cambria" w:hAnsi="Cambria" w:cs="Cambria"/>
          <w:color w:val="000000" w:themeColor="text1"/>
        </w:rPr>
        <w:t xml:space="preserve"> now </w:t>
      </w:r>
      <w:r w:rsidR="001072F3">
        <w:rPr>
          <w:rFonts w:ascii="Cambria" w:eastAsia="Cambria" w:hAnsi="Cambria" w:cs="Cambria"/>
          <w:color w:val="000000" w:themeColor="text1"/>
        </w:rPr>
        <w:t>have no guidance on</w:t>
      </w:r>
      <w:r w:rsidR="00653269">
        <w:rPr>
          <w:rFonts w:ascii="Cambria" w:eastAsia="Cambria" w:hAnsi="Cambria" w:cs="Cambria"/>
          <w:color w:val="000000" w:themeColor="text1"/>
        </w:rPr>
        <w:t xml:space="preserve"> how to proceed</w:t>
      </w:r>
      <w:r w:rsidR="00F80615">
        <w:rPr>
          <w:rFonts w:ascii="Cambria" w:eastAsia="Cambria" w:hAnsi="Cambria" w:cs="Cambria"/>
          <w:color w:val="000000" w:themeColor="text1"/>
        </w:rPr>
        <w:t>.</w:t>
      </w:r>
      <w:r w:rsidR="00F80615">
        <w:rPr>
          <w:rStyle w:val="FootnoteReference"/>
          <w:rFonts w:ascii="Cambria" w:eastAsia="Cambria" w:hAnsi="Cambria" w:cs="Cambria"/>
          <w:color w:val="000000" w:themeColor="text1"/>
        </w:rPr>
        <w:footnoteReference w:id="6"/>
      </w:r>
      <w:r w:rsidR="00653269">
        <w:rPr>
          <w:rFonts w:ascii="Cambria" w:eastAsia="Cambria" w:hAnsi="Cambria" w:cs="Cambria"/>
          <w:color w:val="000000" w:themeColor="text1"/>
        </w:rPr>
        <w:t xml:space="preserve"> </w:t>
      </w:r>
    </w:p>
    <w:p w14:paraId="32DC11EB" w14:textId="77777777" w:rsidR="005B3E99" w:rsidRDefault="005B3E99" w:rsidP="00DC2331">
      <w:pPr>
        <w:spacing w:after="0" w:line="240" w:lineRule="auto"/>
        <w:jc w:val="both"/>
        <w:rPr>
          <w:rFonts w:ascii="Cambria" w:eastAsia="Cambria" w:hAnsi="Cambria" w:cs="Cambria"/>
          <w:color w:val="000000" w:themeColor="text1"/>
        </w:rPr>
      </w:pPr>
    </w:p>
    <w:p w14:paraId="34E029DC" w14:textId="501D3F17" w:rsidR="005B3E99" w:rsidRDefault="005B3E99" w:rsidP="00DC2331">
      <w:pPr>
        <w:spacing w:after="0" w:line="240" w:lineRule="auto"/>
        <w:jc w:val="both"/>
        <w:rPr>
          <w:rFonts w:ascii="Cambria" w:eastAsia="Cambria" w:hAnsi="Cambria" w:cs="Cambria"/>
          <w:color w:val="000000" w:themeColor="text1"/>
        </w:rPr>
      </w:pPr>
      <w:r w:rsidRPr="005B3E99">
        <w:rPr>
          <w:rFonts w:ascii="Cambria" w:eastAsia="Cambria" w:hAnsi="Cambria" w:cs="Cambria"/>
          <w:color w:val="000000" w:themeColor="text1"/>
          <w:highlight w:val="yellow"/>
        </w:rPr>
        <w:t xml:space="preserve">[Include specific examples of clinics in </w:t>
      </w:r>
      <w:r w:rsidR="001072F3">
        <w:rPr>
          <w:rFonts w:ascii="Cambria" w:eastAsia="Cambria" w:hAnsi="Cambria" w:cs="Cambria"/>
          <w:color w:val="000000" w:themeColor="text1"/>
          <w:highlight w:val="yellow"/>
        </w:rPr>
        <w:t>your state</w:t>
      </w:r>
      <w:r w:rsidRPr="005B3E99">
        <w:rPr>
          <w:rFonts w:ascii="Cambria" w:eastAsia="Cambria" w:hAnsi="Cambria" w:cs="Cambria"/>
          <w:color w:val="000000" w:themeColor="text1"/>
          <w:highlight w:val="yellow"/>
        </w:rPr>
        <w:t xml:space="preserve"> </w:t>
      </w:r>
      <w:r w:rsidR="001072F3">
        <w:rPr>
          <w:rFonts w:ascii="Cambria" w:eastAsia="Cambria" w:hAnsi="Cambria" w:cs="Cambria"/>
          <w:color w:val="000000" w:themeColor="text1"/>
          <w:highlight w:val="yellow"/>
        </w:rPr>
        <w:t>that are stalled</w:t>
      </w:r>
      <w:r w:rsidRPr="005B3E99">
        <w:rPr>
          <w:rFonts w:ascii="Cambria" w:eastAsia="Cambria" w:hAnsi="Cambria" w:cs="Cambria"/>
          <w:color w:val="000000" w:themeColor="text1"/>
          <w:highlight w:val="yellow"/>
        </w:rPr>
        <w:t>.]</w:t>
      </w:r>
    </w:p>
    <w:p w14:paraId="0CD741A5" w14:textId="77777777" w:rsidR="005B3E99" w:rsidRDefault="005B3E99" w:rsidP="00DC2331">
      <w:pPr>
        <w:spacing w:after="0" w:line="240" w:lineRule="auto"/>
        <w:jc w:val="both"/>
        <w:rPr>
          <w:rFonts w:ascii="Cambria" w:eastAsia="Cambria" w:hAnsi="Cambria" w:cs="Cambria"/>
          <w:color w:val="000000" w:themeColor="text1"/>
        </w:rPr>
      </w:pPr>
    </w:p>
    <w:p w14:paraId="075DBFF7" w14:textId="68018B9C" w:rsidR="005B3E99" w:rsidRDefault="005B3E99" w:rsidP="00DC2331">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 xml:space="preserve">As </w:t>
      </w:r>
      <w:r w:rsidR="001072F3">
        <w:rPr>
          <w:rFonts w:ascii="Cambria" w:eastAsia="Cambria" w:hAnsi="Cambria" w:cs="Cambria"/>
          <w:color w:val="000000" w:themeColor="text1"/>
        </w:rPr>
        <w:t xml:space="preserve">our </w:t>
      </w:r>
      <w:r>
        <w:rPr>
          <w:rFonts w:ascii="Cambria" w:eastAsia="Cambria" w:hAnsi="Cambria" w:cs="Cambria"/>
          <w:color w:val="000000" w:themeColor="text1"/>
        </w:rPr>
        <w:t xml:space="preserve">examples indicate, the lack of clarification from CMS is causing issues on the ground for new RHCs. </w:t>
      </w:r>
      <w:r w:rsidR="001072F3" w:rsidRPr="001072F3">
        <w:rPr>
          <w:rFonts w:ascii="Cambria" w:eastAsia="Cambria" w:hAnsi="Cambria" w:cs="Cambria"/>
          <w:b/>
          <w:bCs/>
          <w:color w:val="000000" w:themeColor="text1"/>
          <w:highlight w:val="yellow"/>
        </w:rPr>
        <w:t>[Your organization]</w:t>
      </w:r>
      <w:r w:rsidR="00FC35FA" w:rsidRPr="006A4D3F">
        <w:rPr>
          <w:rFonts w:ascii="Cambria" w:eastAsia="Cambria" w:hAnsi="Cambria" w:cs="Cambria"/>
          <w:b/>
          <w:bCs/>
          <w:color w:val="000000" w:themeColor="text1"/>
        </w:rPr>
        <w:t xml:space="preserve"> urges CMS to release a memo on how it plans to move forward with RHC certification</w:t>
      </w:r>
      <w:r w:rsidR="00D04819" w:rsidRPr="006A4D3F">
        <w:rPr>
          <w:rFonts w:ascii="Cambria" w:eastAsia="Cambria" w:hAnsi="Cambria" w:cs="Cambria"/>
          <w:b/>
          <w:bCs/>
          <w:color w:val="000000" w:themeColor="text1"/>
        </w:rPr>
        <w:t xml:space="preserve"> as soon as possible</w:t>
      </w:r>
      <w:r w:rsidR="00FC35FA" w:rsidRPr="006A4D3F">
        <w:rPr>
          <w:rFonts w:ascii="Cambria" w:eastAsia="Cambria" w:hAnsi="Cambria" w:cs="Cambria"/>
          <w:b/>
          <w:bCs/>
          <w:color w:val="000000" w:themeColor="text1"/>
        </w:rPr>
        <w:t>.</w:t>
      </w:r>
      <w:r w:rsidR="00FC35FA">
        <w:rPr>
          <w:rFonts w:ascii="Cambria" w:eastAsia="Cambria" w:hAnsi="Cambria" w:cs="Cambria"/>
          <w:color w:val="000000" w:themeColor="text1"/>
        </w:rPr>
        <w:t xml:space="preserve"> </w:t>
      </w:r>
      <w:r w:rsidR="001072F3">
        <w:rPr>
          <w:rFonts w:ascii="Cambria" w:eastAsia="Cambria" w:hAnsi="Cambria" w:cs="Cambria"/>
          <w:b/>
          <w:bCs/>
          <w:color w:val="000000" w:themeColor="text1"/>
        </w:rPr>
        <w:t>We</w:t>
      </w:r>
      <w:r w:rsidR="00FC35FA" w:rsidRPr="006A4D3F">
        <w:rPr>
          <w:rFonts w:ascii="Cambria" w:eastAsia="Cambria" w:hAnsi="Cambria" w:cs="Cambria"/>
          <w:b/>
          <w:bCs/>
          <w:color w:val="000000" w:themeColor="text1"/>
        </w:rPr>
        <w:t xml:space="preserve"> suggest that CMS preserve the status quo and clarify that RHCs in areas with a population of 50,000 or less </w:t>
      </w:r>
      <w:r w:rsidR="00754231" w:rsidRPr="006A4D3F">
        <w:rPr>
          <w:rFonts w:ascii="Cambria" w:eastAsia="Cambria" w:hAnsi="Cambria" w:cs="Cambria"/>
          <w:b/>
          <w:bCs/>
          <w:color w:val="000000" w:themeColor="text1"/>
        </w:rPr>
        <w:t xml:space="preserve">continue to be </w:t>
      </w:r>
      <w:r w:rsidR="00FC35FA" w:rsidRPr="006A4D3F">
        <w:rPr>
          <w:rFonts w:ascii="Cambria" w:eastAsia="Cambria" w:hAnsi="Cambria" w:cs="Cambria"/>
          <w:b/>
          <w:bCs/>
          <w:color w:val="000000" w:themeColor="text1"/>
        </w:rPr>
        <w:t xml:space="preserve">eligible for the program. </w:t>
      </w:r>
      <w:r w:rsidR="00FC35FA">
        <w:rPr>
          <w:rFonts w:ascii="Cambria" w:eastAsia="Cambria" w:hAnsi="Cambria" w:cs="Cambria"/>
          <w:color w:val="000000" w:themeColor="text1"/>
        </w:rPr>
        <w:t xml:space="preserve">We strongly caution CMS against adopting the 5,000 or less population threshold under the new </w:t>
      </w:r>
      <w:r w:rsidR="003D7431">
        <w:rPr>
          <w:rFonts w:ascii="Cambria" w:eastAsia="Cambria" w:hAnsi="Cambria" w:cs="Cambria"/>
          <w:color w:val="000000" w:themeColor="text1"/>
        </w:rPr>
        <w:t xml:space="preserve">Census </w:t>
      </w:r>
      <w:r w:rsidR="00FC35FA">
        <w:rPr>
          <w:rFonts w:ascii="Cambria" w:eastAsia="Cambria" w:hAnsi="Cambria" w:cs="Cambria"/>
          <w:color w:val="000000" w:themeColor="text1"/>
        </w:rPr>
        <w:t>urban area definition.</w:t>
      </w:r>
      <w:r w:rsidR="00754231">
        <w:rPr>
          <w:rFonts w:ascii="Cambria" w:eastAsia="Cambria" w:hAnsi="Cambria" w:cs="Cambria"/>
          <w:color w:val="000000" w:themeColor="text1"/>
        </w:rPr>
        <w:t xml:space="preserve"> This policy would unnecessarily restrict</w:t>
      </w:r>
      <w:r w:rsidR="00D04819">
        <w:rPr>
          <w:rFonts w:ascii="Cambria" w:eastAsia="Cambria" w:hAnsi="Cambria" w:cs="Cambria"/>
          <w:color w:val="000000" w:themeColor="text1"/>
        </w:rPr>
        <w:t xml:space="preserve"> the areas that future RHCs </w:t>
      </w:r>
      <w:r w:rsidR="003A4399">
        <w:rPr>
          <w:rFonts w:ascii="Cambria" w:eastAsia="Cambria" w:hAnsi="Cambria" w:cs="Cambria"/>
          <w:color w:val="000000" w:themeColor="text1"/>
        </w:rPr>
        <w:t>could serve, threatening access to care for our rural residents.</w:t>
      </w:r>
    </w:p>
    <w:p w14:paraId="0A37A2E4" w14:textId="77777777" w:rsidR="00AF09D4" w:rsidRDefault="00AF09D4" w:rsidP="00DC2331">
      <w:pPr>
        <w:spacing w:after="0" w:line="240" w:lineRule="auto"/>
        <w:jc w:val="both"/>
        <w:rPr>
          <w:rFonts w:ascii="Cambria" w:eastAsia="Cambria" w:hAnsi="Cambria" w:cs="Cambria"/>
          <w:color w:val="000000" w:themeColor="text1"/>
        </w:rPr>
      </w:pPr>
    </w:p>
    <w:p w14:paraId="66CB74F6" w14:textId="53A6FABC" w:rsidR="00AF09D4" w:rsidRDefault="003D7431" w:rsidP="00DC2331">
      <w:pPr>
        <w:spacing w:after="0" w:line="240" w:lineRule="auto"/>
        <w:jc w:val="both"/>
        <w:rPr>
          <w:rFonts w:ascii="Cambria" w:eastAsia="Cambria" w:hAnsi="Cambria" w:cs="Cambria"/>
        </w:rPr>
      </w:pPr>
      <w:r w:rsidRPr="003D7431">
        <w:rPr>
          <w:rFonts w:ascii="Cambria" w:eastAsia="Cambria" w:hAnsi="Cambria" w:cs="Cambria"/>
          <w:highlight w:val="yellow"/>
        </w:rPr>
        <w:t>[Your organization]</w:t>
      </w:r>
      <w:r w:rsidR="00D57F34">
        <w:rPr>
          <w:rFonts w:ascii="Cambria" w:eastAsia="Cambria" w:hAnsi="Cambria" w:cs="Cambria"/>
        </w:rPr>
        <w:t xml:space="preserve"> thanks CMS for its continued support of rural communities across America. We look forward to working towards our mutual goal of </w:t>
      </w:r>
      <w:r w:rsidR="00D57F34" w:rsidRPr="00154332">
        <w:rPr>
          <w:rFonts w:ascii="Cambria" w:eastAsia="Cambria" w:hAnsi="Cambria" w:cs="Cambria"/>
        </w:rPr>
        <w:t>improving quality and access to care.</w:t>
      </w:r>
      <w:r w:rsidR="00D57F34">
        <w:rPr>
          <w:rFonts w:ascii="Cambria" w:eastAsia="Cambria" w:hAnsi="Cambria" w:cs="Cambria"/>
        </w:rPr>
        <w:t xml:space="preserve"> </w:t>
      </w:r>
      <w:r w:rsidR="00D57F34" w:rsidRPr="00643B40">
        <w:rPr>
          <w:rFonts w:ascii="Cambria" w:eastAsia="Cambria" w:hAnsi="Cambria" w:cs="Cambria"/>
        </w:rPr>
        <w:t xml:space="preserve">If you would like additional information, please contact </w:t>
      </w:r>
      <w:r w:rsidR="00D57F34" w:rsidRPr="00D57F34">
        <w:rPr>
          <w:rFonts w:ascii="Cambria" w:eastAsia="Cambria" w:hAnsi="Cambria" w:cs="Cambria"/>
          <w:highlight w:val="yellow"/>
        </w:rPr>
        <w:t>[name]</w:t>
      </w:r>
      <w:r w:rsidR="00D57F34">
        <w:rPr>
          <w:rFonts w:ascii="Cambria" w:eastAsia="Cambria" w:hAnsi="Cambria" w:cs="Cambria"/>
        </w:rPr>
        <w:t xml:space="preserve"> at </w:t>
      </w:r>
      <w:r w:rsidR="00D57F34" w:rsidRPr="00D57F34">
        <w:rPr>
          <w:rFonts w:ascii="Cambria" w:eastAsia="Cambria" w:hAnsi="Cambria" w:cs="Cambria"/>
          <w:highlight w:val="yellow"/>
        </w:rPr>
        <w:t>[email/phone].</w:t>
      </w:r>
    </w:p>
    <w:p w14:paraId="002220ED" w14:textId="77777777" w:rsidR="00D57F34" w:rsidRDefault="00D57F34" w:rsidP="00DC2331">
      <w:pPr>
        <w:spacing w:after="0" w:line="240" w:lineRule="auto"/>
        <w:jc w:val="both"/>
        <w:rPr>
          <w:rFonts w:ascii="Cambria" w:eastAsia="Cambria" w:hAnsi="Cambria" w:cs="Cambria"/>
        </w:rPr>
      </w:pPr>
    </w:p>
    <w:p w14:paraId="130D7202" w14:textId="65063B8E" w:rsidR="00D57F34" w:rsidRDefault="00D57F34" w:rsidP="00DC2331">
      <w:pPr>
        <w:spacing w:after="0" w:line="240" w:lineRule="auto"/>
        <w:jc w:val="both"/>
        <w:rPr>
          <w:rFonts w:ascii="Cambria" w:eastAsia="Cambria" w:hAnsi="Cambria" w:cs="Cambria"/>
        </w:rPr>
      </w:pPr>
      <w:r>
        <w:rPr>
          <w:rFonts w:ascii="Cambria" w:eastAsia="Cambria" w:hAnsi="Cambria" w:cs="Cambria"/>
        </w:rPr>
        <w:t>Sincerely,</w:t>
      </w:r>
    </w:p>
    <w:p w14:paraId="7C0CB27E" w14:textId="77777777" w:rsidR="00D57F34" w:rsidRDefault="00D57F34" w:rsidP="00DC2331">
      <w:pPr>
        <w:spacing w:after="0" w:line="240" w:lineRule="auto"/>
        <w:jc w:val="both"/>
        <w:rPr>
          <w:rFonts w:ascii="Cambria" w:eastAsia="Cambria" w:hAnsi="Cambria" w:cs="Cambria"/>
        </w:rPr>
      </w:pPr>
    </w:p>
    <w:p w14:paraId="42E55AB5" w14:textId="4DBB1D1B" w:rsidR="00D57F34" w:rsidRPr="00D57F34" w:rsidRDefault="00D57F34" w:rsidP="00DC2331">
      <w:pPr>
        <w:spacing w:after="0" w:line="240" w:lineRule="auto"/>
        <w:jc w:val="both"/>
        <w:rPr>
          <w:rFonts w:ascii="Cambria" w:eastAsia="Cambria" w:hAnsi="Cambria" w:cs="Cambria"/>
        </w:rPr>
      </w:pPr>
      <w:r w:rsidRPr="00D57F34">
        <w:rPr>
          <w:rFonts w:ascii="Cambria" w:eastAsia="Cambria" w:hAnsi="Cambria" w:cs="Cambria"/>
          <w:highlight w:val="yellow"/>
        </w:rPr>
        <w:t>[Add signature]</w:t>
      </w:r>
    </w:p>
    <w:p w14:paraId="0D4BB39B" w14:textId="77777777" w:rsidR="004138A9" w:rsidRDefault="004138A9" w:rsidP="00DC2331">
      <w:pPr>
        <w:spacing w:after="0" w:line="240" w:lineRule="auto"/>
        <w:jc w:val="both"/>
        <w:rPr>
          <w:rFonts w:ascii="Cambria" w:eastAsia="Cambria" w:hAnsi="Cambria" w:cs="Cambria"/>
          <w:color w:val="000000" w:themeColor="text1"/>
        </w:rPr>
      </w:pPr>
    </w:p>
    <w:p w14:paraId="2F5B1968" w14:textId="77777777" w:rsidR="004138A9" w:rsidRDefault="004138A9" w:rsidP="00DC2331">
      <w:pPr>
        <w:spacing w:after="0" w:line="240" w:lineRule="auto"/>
        <w:jc w:val="both"/>
        <w:rPr>
          <w:rFonts w:ascii="Cambria" w:eastAsia="Cambria" w:hAnsi="Cambria" w:cs="Cambria"/>
          <w:color w:val="000000" w:themeColor="text1"/>
        </w:rPr>
      </w:pPr>
    </w:p>
    <w:p w14:paraId="24589872" w14:textId="7DB6C0AA" w:rsidR="001B4DA6" w:rsidRPr="009F6E5F" w:rsidRDefault="00BE207D" w:rsidP="00BE207D">
      <w:pPr>
        <w:spacing w:after="0" w:line="240" w:lineRule="auto"/>
        <w:jc w:val="both"/>
        <w:rPr>
          <w:rFonts w:ascii="Cambria" w:hAnsi="Cambria"/>
          <w:highlight w:val="yellow"/>
        </w:rPr>
      </w:pPr>
      <w:r w:rsidRPr="009F6E5F">
        <w:rPr>
          <w:rFonts w:ascii="Cambria" w:hAnsi="Cambria"/>
          <w:highlight w:val="yellow"/>
        </w:rPr>
        <w:t>Name</w:t>
      </w:r>
    </w:p>
    <w:p w14:paraId="10276FA1" w14:textId="72FF39F3" w:rsidR="00BE207D" w:rsidRPr="009F6E5F" w:rsidRDefault="00BE207D" w:rsidP="00BE207D">
      <w:pPr>
        <w:spacing w:after="0" w:line="240" w:lineRule="auto"/>
        <w:jc w:val="both"/>
        <w:rPr>
          <w:rFonts w:ascii="Cambria" w:hAnsi="Cambria"/>
          <w:highlight w:val="yellow"/>
        </w:rPr>
      </w:pPr>
      <w:r w:rsidRPr="009F6E5F">
        <w:rPr>
          <w:rFonts w:ascii="Cambria" w:hAnsi="Cambria"/>
          <w:highlight w:val="yellow"/>
        </w:rPr>
        <w:t>Title</w:t>
      </w:r>
    </w:p>
    <w:p w14:paraId="227B0F00" w14:textId="67E785CE" w:rsidR="00BE207D" w:rsidRPr="0012307A" w:rsidRDefault="00BE207D" w:rsidP="00BE207D">
      <w:pPr>
        <w:spacing w:after="0" w:line="240" w:lineRule="auto"/>
        <w:jc w:val="both"/>
        <w:rPr>
          <w:rFonts w:ascii="Cambria" w:hAnsi="Cambria"/>
        </w:rPr>
      </w:pPr>
      <w:r w:rsidRPr="009F6E5F">
        <w:rPr>
          <w:rFonts w:ascii="Cambria" w:hAnsi="Cambria"/>
          <w:highlight w:val="yellow"/>
        </w:rPr>
        <w:t>Organization</w:t>
      </w:r>
      <w:r>
        <w:rPr>
          <w:rFonts w:ascii="Cambria" w:hAnsi="Cambria"/>
        </w:rPr>
        <w:t xml:space="preserve"> </w:t>
      </w:r>
    </w:p>
    <w:sectPr w:rsidR="00BE207D" w:rsidRPr="001230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E3EA" w14:textId="77777777" w:rsidR="007B540F" w:rsidRDefault="007B540F" w:rsidP="00CE224B">
      <w:pPr>
        <w:spacing w:after="0" w:line="240" w:lineRule="auto"/>
      </w:pPr>
      <w:r>
        <w:separator/>
      </w:r>
    </w:p>
  </w:endnote>
  <w:endnote w:type="continuationSeparator" w:id="0">
    <w:p w14:paraId="2B2117FE" w14:textId="77777777" w:rsidR="007B540F" w:rsidRDefault="007B540F" w:rsidP="00CE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36774754"/>
      <w:docPartObj>
        <w:docPartGallery w:val="Page Numbers (Bottom of Page)"/>
        <w:docPartUnique/>
      </w:docPartObj>
    </w:sdtPr>
    <w:sdtEndPr>
      <w:rPr>
        <w:noProof/>
      </w:rPr>
    </w:sdtEndPr>
    <w:sdtContent>
      <w:p w14:paraId="64931282" w14:textId="3F2EDE51" w:rsidR="00D57F34" w:rsidRPr="00D57F34" w:rsidRDefault="00D57F34">
        <w:pPr>
          <w:pStyle w:val="Footer"/>
          <w:jc w:val="right"/>
          <w:rPr>
            <w:rFonts w:ascii="Cambria" w:hAnsi="Cambria"/>
          </w:rPr>
        </w:pPr>
        <w:r w:rsidRPr="00D57F34">
          <w:rPr>
            <w:rFonts w:ascii="Cambria" w:hAnsi="Cambria"/>
          </w:rPr>
          <w:fldChar w:fldCharType="begin"/>
        </w:r>
        <w:r w:rsidRPr="00D57F34">
          <w:rPr>
            <w:rFonts w:ascii="Cambria" w:hAnsi="Cambria"/>
          </w:rPr>
          <w:instrText xml:space="preserve"> PAGE   \* MERGEFORMAT </w:instrText>
        </w:r>
        <w:r w:rsidRPr="00D57F34">
          <w:rPr>
            <w:rFonts w:ascii="Cambria" w:hAnsi="Cambria"/>
          </w:rPr>
          <w:fldChar w:fldCharType="separate"/>
        </w:r>
        <w:r w:rsidRPr="00D57F34">
          <w:rPr>
            <w:rFonts w:ascii="Cambria" w:hAnsi="Cambria"/>
            <w:noProof/>
          </w:rPr>
          <w:t>2</w:t>
        </w:r>
        <w:r w:rsidRPr="00D57F34">
          <w:rPr>
            <w:rFonts w:ascii="Cambria" w:hAnsi="Cambria"/>
            <w:noProof/>
          </w:rPr>
          <w:fldChar w:fldCharType="end"/>
        </w:r>
      </w:p>
    </w:sdtContent>
  </w:sdt>
  <w:p w14:paraId="21EE6FF4" w14:textId="77777777" w:rsidR="00D57F34" w:rsidRPr="00D57F34" w:rsidRDefault="00D57F34">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20A7" w14:textId="77777777" w:rsidR="007B540F" w:rsidRDefault="007B540F" w:rsidP="00CE224B">
      <w:pPr>
        <w:spacing w:after="0" w:line="240" w:lineRule="auto"/>
      </w:pPr>
      <w:r>
        <w:separator/>
      </w:r>
    </w:p>
  </w:footnote>
  <w:footnote w:type="continuationSeparator" w:id="0">
    <w:p w14:paraId="2C94A673" w14:textId="77777777" w:rsidR="007B540F" w:rsidRDefault="007B540F" w:rsidP="00CE224B">
      <w:pPr>
        <w:spacing w:after="0" w:line="240" w:lineRule="auto"/>
      </w:pPr>
      <w:r>
        <w:continuationSeparator/>
      </w:r>
    </w:p>
  </w:footnote>
  <w:footnote w:id="1">
    <w:p w14:paraId="120F097C" w14:textId="7BD9B8F3" w:rsidR="00CE224B" w:rsidRPr="00806E37" w:rsidRDefault="00CE224B" w:rsidP="00CE224B">
      <w:pPr>
        <w:pStyle w:val="FootnoteText"/>
        <w:rPr>
          <w:rFonts w:ascii="Cambria" w:hAnsi="Cambria"/>
        </w:rPr>
      </w:pPr>
      <w:r w:rsidRPr="00806E37">
        <w:rPr>
          <w:rStyle w:val="FootnoteReference"/>
          <w:rFonts w:ascii="Cambria" w:hAnsi="Cambria"/>
        </w:rPr>
        <w:footnoteRef/>
      </w:r>
      <w:r w:rsidRPr="00806E37">
        <w:rPr>
          <w:rFonts w:ascii="Cambria" w:hAnsi="Cambria"/>
        </w:rPr>
        <w:t xml:space="preserve"> 87 F</w:t>
      </w:r>
      <w:r w:rsidR="00AB6ACB" w:rsidRPr="00806E37">
        <w:rPr>
          <w:rFonts w:ascii="Cambria" w:hAnsi="Cambria"/>
        </w:rPr>
        <w:t xml:space="preserve">ed. </w:t>
      </w:r>
      <w:r w:rsidRPr="00806E37">
        <w:rPr>
          <w:rFonts w:ascii="Cambria" w:hAnsi="Cambria"/>
        </w:rPr>
        <w:t>R</w:t>
      </w:r>
      <w:r w:rsidR="00AB6ACB" w:rsidRPr="00806E37">
        <w:rPr>
          <w:rFonts w:ascii="Cambria" w:hAnsi="Cambria"/>
        </w:rPr>
        <w:t>eg.</w:t>
      </w:r>
      <w:r w:rsidRPr="00806E37">
        <w:rPr>
          <w:rFonts w:ascii="Cambria" w:hAnsi="Cambria"/>
        </w:rPr>
        <w:t xml:space="preserve"> 16706</w:t>
      </w:r>
      <w:r w:rsidR="00154BB1">
        <w:rPr>
          <w:rFonts w:ascii="Cambria" w:hAnsi="Cambria"/>
        </w:rPr>
        <w:t xml:space="preserve"> (Mar. 24, 2022)</w:t>
      </w:r>
      <w:r w:rsidRPr="00806E37">
        <w:rPr>
          <w:rFonts w:ascii="Cambria" w:hAnsi="Cambria"/>
        </w:rPr>
        <w:t>; 87 F</w:t>
      </w:r>
      <w:r w:rsidR="00AB6ACB" w:rsidRPr="00806E37">
        <w:rPr>
          <w:rFonts w:ascii="Cambria" w:hAnsi="Cambria"/>
        </w:rPr>
        <w:t xml:space="preserve">ed. </w:t>
      </w:r>
      <w:r w:rsidRPr="00806E37">
        <w:rPr>
          <w:rFonts w:ascii="Cambria" w:hAnsi="Cambria"/>
        </w:rPr>
        <w:t>R</w:t>
      </w:r>
      <w:r w:rsidR="00AB6ACB" w:rsidRPr="00806E37">
        <w:rPr>
          <w:rFonts w:ascii="Cambria" w:hAnsi="Cambria"/>
        </w:rPr>
        <w:t>eg</w:t>
      </w:r>
      <w:r w:rsidRPr="00806E37">
        <w:rPr>
          <w:rFonts w:ascii="Cambria" w:hAnsi="Cambria"/>
        </w:rPr>
        <w:t xml:space="preserve"> 80114</w:t>
      </w:r>
      <w:r w:rsidR="00AB6ACB" w:rsidRPr="00806E37">
        <w:rPr>
          <w:rFonts w:ascii="Cambria" w:hAnsi="Cambria"/>
        </w:rPr>
        <w:t xml:space="preserve"> (Dec</w:t>
      </w:r>
      <w:r w:rsidR="00154BB1">
        <w:rPr>
          <w:rFonts w:ascii="Cambria" w:hAnsi="Cambria"/>
        </w:rPr>
        <w:t>.</w:t>
      </w:r>
      <w:r w:rsidR="00AB6ACB" w:rsidRPr="00806E37">
        <w:rPr>
          <w:rFonts w:ascii="Cambria" w:hAnsi="Cambria"/>
        </w:rPr>
        <w:t xml:space="preserve"> 29, 2022)</w:t>
      </w:r>
      <w:r w:rsidRPr="00806E37">
        <w:rPr>
          <w:rFonts w:ascii="Cambria" w:hAnsi="Cambria"/>
        </w:rPr>
        <w:t>.</w:t>
      </w:r>
    </w:p>
  </w:footnote>
  <w:footnote w:id="2">
    <w:p w14:paraId="60FD4E10" w14:textId="347D8B06" w:rsidR="00AB6ACB" w:rsidRDefault="00AB6ACB">
      <w:pPr>
        <w:pStyle w:val="FootnoteText"/>
      </w:pPr>
      <w:r w:rsidRPr="00806E37">
        <w:rPr>
          <w:rStyle w:val="FootnoteReference"/>
          <w:rFonts w:ascii="Cambria" w:hAnsi="Cambria"/>
        </w:rPr>
        <w:footnoteRef/>
      </w:r>
      <w:r w:rsidRPr="00806E37">
        <w:rPr>
          <w:rFonts w:ascii="Cambria" w:hAnsi="Cambria"/>
        </w:rPr>
        <w:t xml:space="preserve"> </w:t>
      </w:r>
      <w:r w:rsidR="00806E37" w:rsidRPr="00806E37">
        <w:rPr>
          <w:rFonts w:ascii="Cambria" w:hAnsi="Cambria"/>
        </w:rPr>
        <w:t>42 U.S.C. 1395x</w:t>
      </w:r>
      <w:r w:rsidR="00806E37">
        <w:rPr>
          <w:rFonts w:ascii="Cambria" w:hAnsi="Cambria"/>
        </w:rPr>
        <w:t>(aa)(2).</w:t>
      </w:r>
    </w:p>
  </w:footnote>
  <w:footnote w:id="3">
    <w:p w14:paraId="1091D506" w14:textId="77777777" w:rsidR="00DC2331" w:rsidRPr="004449BE" w:rsidRDefault="00DC2331" w:rsidP="00DC2331">
      <w:pPr>
        <w:pStyle w:val="FootnoteText"/>
        <w:rPr>
          <w:rFonts w:ascii="Cambria" w:hAnsi="Cambria"/>
        </w:rPr>
      </w:pPr>
      <w:r w:rsidRPr="004449BE">
        <w:rPr>
          <w:rStyle w:val="FootnoteReference"/>
          <w:rFonts w:ascii="Cambria" w:hAnsi="Cambria"/>
        </w:rPr>
        <w:footnoteRef/>
      </w:r>
      <w:r w:rsidRPr="004449BE">
        <w:rPr>
          <w:rFonts w:ascii="Cambria" w:hAnsi="Cambria"/>
        </w:rPr>
        <w:t xml:space="preserve"> 42 C.F.R. § 491.5(c)(1).</w:t>
      </w:r>
    </w:p>
  </w:footnote>
  <w:footnote w:id="4">
    <w:p w14:paraId="45A5FD34" w14:textId="77777777" w:rsidR="00DC2331" w:rsidRPr="004449BE" w:rsidRDefault="00DC2331" w:rsidP="00DC2331">
      <w:pPr>
        <w:pStyle w:val="FootnoteText"/>
        <w:rPr>
          <w:rFonts w:ascii="Cambria" w:hAnsi="Cambria"/>
        </w:rPr>
      </w:pPr>
      <w:r w:rsidRPr="004449BE">
        <w:rPr>
          <w:rStyle w:val="FootnoteReference"/>
          <w:rFonts w:ascii="Cambria" w:hAnsi="Cambria"/>
        </w:rPr>
        <w:footnoteRef/>
      </w:r>
      <w:r w:rsidRPr="004449BE">
        <w:rPr>
          <w:rFonts w:ascii="Cambria" w:hAnsi="Cambria"/>
        </w:rPr>
        <w:t xml:space="preserve"> 87 </w:t>
      </w:r>
      <w:r>
        <w:rPr>
          <w:rFonts w:ascii="Cambria" w:hAnsi="Cambria"/>
        </w:rPr>
        <w:t>FR</w:t>
      </w:r>
      <w:r w:rsidRPr="004449BE">
        <w:rPr>
          <w:rFonts w:ascii="Cambria" w:hAnsi="Cambria"/>
        </w:rPr>
        <w:t xml:space="preserve"> 16707</w:t>
      </w:r>
      <w:r>
        <w:rPr>
          <w:rFonts w:ascii="Cambria" w:hAnsi="Cambria"/>
        </w:rPr>
        <w:t>.</w:t>
      </w:r>
      <w:r w:rsidRPr="004449BE">
        <w:rPr>
          <w:rFonts w:ascii="Cambria" w:hAnsi="Cambria"/>
        </w:rPr>
        <w:t xml:space="preserve"> </w:t>
      </w:r>
    </w:p>
  </w:footnote>
  <w:footnote w:id="5">
    <w:p w14:paraId="0BEF8C4F" w14:textId="77777777" w:rsidR="00DC2331" w:rsidRPr="004449BE" w:rsidRDefault="00DC2331" w:rsidP="00DC2331">
      <w:pPr>
        <w:pStyle w:val="FootnoteText"/>
        <w:rPr>
          <w:rFonts w:ascii="Cambria" w:hAnsi="Cambria"/>
        </w:rPr>
      </w:pPr>
      <w:r w:rsidRPr="004449BE">
        <w:rPr>
          <w:rStyle w:val="FootnoteReference"/>
          <w:rFonts w:ascii="Cambria" w:hAnsi="Cambria"/>
        </w:rPr>
        <w:footnoteRef/>
      </w:r>
      <w:r w:rsidRPr="004449BE">
        <w:rPr>
          <w:rFonts w:ascii="Cambria" w:hAnsi="Cambria"/>
        </w:rPr>
        <w:t xml:space="preserve"> 87 </w:t>
      </w:r>
      <w:r>
        <w:rPr>
          <w:rFonts w:ascii="Cambria" w:hAnsi="Cambria"/>
        </w:rPr>
        <w:t>FR</w:t>
      </w:r>
      <w:r w:rsidRPr="004449BE">
        <w:rPr>
          <w:rFonts w:ascii="Cambria" w:hAnsi="Cambria"/>
        </w:rPr>
        <w:t xml:space="preserve"> 16711.</w:t>
      </w:r>
    </w:p>
  </w:footnote>
  <w:footnote w:id="6">
    <w:p w14:paraId="20B8A9E1" w14:textId="063BD742" w:rsidR="00F80615" w:rsidRDefault="00F80615">
      <w:pPr>
        <w:pStyle w:val="FootnoteText"/>
      </w:pPr>
      <w:r w:rsidRPr="0019422B">
        <w:rPr>
          <w:rStyle w:val="FootnoteReference"/>
          <w:rFonts w:ascii="Cambria" w:hAnsi="Cambria"/>
        </w:rPr>
        <w:footnoteRef/>
      </w:r>
      <w:r w:rsidRPr="0019422B">
        <w:rPr>
          <w:rFonts w:ascii="Cambria" w:hAnsi="Cambria"/>
        </w:rPr>
        <w:t xml:space="preserve"> </w:t>
      </w:r>
      <w:r w:rsidR="0019422B" w:rsidRPr="0019422B">
        <w:rPr>
          <w:rFonts w:ascii="Cambria" w:hAnsi="Cambria"/>
          <w:i/>
          <w:iCs/>
        </w:rPr>
        <w:t xml:space="preserve">See </w:t>
      </w:r>
      <w:r w:rsidR="00154BB1" w:rsidRPr="0019422B">
        <w:rPr>
          <w:rFonts w:ascii="Cambria" w:hAnsi="Cambria"/>
        </w:rPr>
        <w:t>87 Fed</w:t>
      </w:r>
      <w:r w:rsidR="00154BB1" w:rsidRPr="00806E37">
        <w:rPr>
          <w:rFonts w:ascii="Cambria" w:hAnsi="Cambria"/>
        </w:rPr>
        <w:t>. Reg. 16706</w:t>
      </w:r>
      <w:r w:rsidR="00154BB1">
        <w:rPr>
          <w:rFonts w:ascii="Cambria" w:hAnsi="Cambria"/>
        </w:rPr>
        <w:t xml:space="preserve"> (Mar. 24, 2022).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AE"/>
    <w:rsid w:val="00016FDC"/>
    <w:rsid w:val="000F0764"/>
    <w:rsid w:val="000F5ED7"/>
    <w:rsid w:val="001072F3"/>
    <w:rsid w:val="0012307A"/>
    <w:rsid w:val="00154BB1"/>
    <w:rsid w:val="001908F3"/>
    <w:rsid w:val="0019422B"/>
    <w:rsid w:val="001B4DA6"/>
    <w:rsid w:val="00243BCA"/>
    <w:rsid w:val="002901F6"/>
    <w:rsid w:val="002B78AE"/>
    <w:rsid w:val="002D0ECD"/>
    <w:rsid w:val="00307BF8"/>
    <w:rsid w:val="003229B4"/>
    <w:rsid w:val="00364BA1"/>
    <w:rsid w:val="003A4399"/>
    <w:rsid w:val="003B1FD0"/>
    <w:rsid w:val="003C4F13"/>
    <w:rsid w:val="003D7431"/>
    <w:rsid w:val="004138A9"/>
    <w:rsid w:val="00444B63"/>
    <w:rsid w:val="004B0B3F"/>
    <w:rsid w:val="00531C2C"/>
    <w:rsid w:val="00535C86"/>
    <w:rsid w:val="0054582E"/>
    <w:rsid w:val="005B3E99"/>
    <w:rsid w:val="005C4817"/>
    <w:rsid w:val="00635DC7"/>
    <w:rsid w:val="00653269"/>
    <w:rsid w:val="006A4D3F"/>
    <w:rsid w:val="006B5F90"/>
    <w:rsid w:val="00746E7C"/>
    <w:rsid w:val="00754231"/>
    <w:rsid w:val="007B540F"/>
    <w:rsid w:val="007C0785"/>
    <w:rsid w:val="007E299F"/>
    <w:rsid w:val="00806E37"/>
    <w:rsid w:val="00931FE2"/>
    <w:rsid w:val="009F6E5F"/>
    <w:rsid w:val="00A177A8"/>
    <w:rsid w:val="00A26B15"/>
    <w:rsid w:val="00A27F40"/>
    <w:rsid w:val="00A6438D"/>
    <w:rsid w:val="00AB6ACB"/>
    <w:rsid w:val="00AF09D4"/>
    <w:rsid w:val="00B11E67"/>
    <w:rsid w:val="00B806BA"/>
    <w:rsid w:val="00B90CB6"/>
    <w:rsid w:val="00BE207D"/>
    <w:rsid w:val="00C44F78"/>
    <w:rsid w:val="00CE224B"/>
    <w:rsid w:val="00D04819"/>
    <w:rsid w:val="00D3100C"/>
    <w:rsid w:val="00D55A50"/>
    <w:rsid w:val="00D57F34"/>
    <w:rsid w:val="00DC2331"/>
    <w:rsid w:val="00E17D45"/>
    <w:rsid w:val="00E50C18"/>
    <w:rsid w:val="00ED777A"/>
    <w:rsid w:val="00F165E1"/>
    <w:rsid w:val="00F36B9F"/>
    <w:rsid w:val="00F80615"/>
    <w:rsid w:val="00FB7815"/>
    <w:rsid w:val="00FC35FA"/>
    <w:rsid w:val="00FD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0E74"/>
  <w15:chartTrackingRefBased/>
  <w15:docId w15:val="{8123E19B-C146-4293-AD56-CEAB106D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E224B"/>
    <w:rPr>
      <w:vertAlign w:val="superscript"/>
    </w:rPr>
  </w:style>
  <w:style w:type="character" w:customStyle="1" w:styleId="FootnoteTextChar">
    <w:name w:val="Footnote Text Char"/>
    <w:basedOn w:val="DefaultParagraphFont"/>
    <w:link w:val="FootnoteText"/>
    <w:uiPriority w:val="99"/>
    <w:semiHidden/>
    <w:rsid w:val="00CE224B"/>
    <w:rPr>
      <w:sz w:val="20"/>
      <w:szCs w:val="20"/>
    </w:rPr>
  </w:style>
  <w:style w:type="paragraph" w:styleId="FootnoteText">
    <w:name w:val="footnote text"/>
    <w:basedOn w:val="Normal"/>
    <w:link w:val="FootnoteTextChar"/>
    <w:uiPriority w:val="99"/>
    <w:semiHidden/>
    <w:unhideWhenUsed/>
    <w:rsid w:val="00CE224B"/>
    <w:pPr>
      <w:spacing w:after="0" w:line="240" w:lineRule="auto"/>
    </w:pPr>
    <w:rPr>
      <w:sz w:val="20"/>
      <w:szCs w:val="20"/>
    </w:rPr>
  </w:style>
  <w:style w:type="character" w:customStyle="1" w:styleId="FootnoteTextChar1">
    <w:name w:val="Footnote Text Char1"/>
    <w:basedOn w:val="DefaultParagraphFont"/>
    <w:uiPriority w:val="99"/>
    <w:semiHidden/>
    <w:rsid w:val="00CE224B"/>
    <w:rPr>
      <w:sz w:val="20"/>
      <w:szCs w:val="20"/>
    </w:rPr>
  </w:style>
  <w:style w:type="paragraph" w:styleId="Header">
    <w:name w:val="header"/>
    <w:basedOn w:val="Normal"/>
    <w:link w:val="HeaderChar"/>
    <w:uiPriority w:val="99"/>
    <w:unhideWhenUsed/>
    <w:rsid w:val="00D5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F34"/>
  </w:style>
  <w:style w:type="paragraph" w:styleId="Footer">
    <w:name w:val="footer"/>
    <w:basedOn w:val="Normal"/>
    <w:link w:val="FooterChar"/>
    <w:uiPriority w:val="99"/>
    <w:unhideWhenUsed/>
    <w:rsid w:val="00D5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F34"/>
  </w:style>
  <w:style w:type="character" w:styleId="Hyperlink">
    <w:name w:val="Hyperlink"/>
    <w:basedOn w:val="DefaultParagraphFont"/>
    <w:uiPriority w:val="99"/>
    <w:unhideWhenUsed/>
    <w:rsid w:val="000F0764"/>
    <w:rPr>
      <w:color w:val="0563C1" w:themeColor="hyperlink"/>
      <w:u w:val="single"/>
    </w:rPr>
  </w:style>
  <w:style w:type="character" w:styleId="UnresolvedMention">
    <w:name w:val="Unresolved Mention"/>
    <w:basedOn w:val="DefaultParagraphFont"/>
    <w:uiPriority w:val="99"/>
    <w:semiHidden/>
    <w:unhideWhenUsed/>
    <w:rsid w:val="000F0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ederalregister.gov/documents/2022/12/29/2022-28286/2020-census-qualifying-urban-areas-and-final-criteria-clar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6" ma:contentTypeDescription="Create a new document." ma:contentTypeScope="" ma:versionID="a3cad60760392404eab3bf50d9ecb97e">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c7a8cfd386b86df4572950117b7ca9d"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E8F19-88F3-4400-A399-05BA1419A3EB}">
  <ds:schemaRefs>
    <ds:schemaRef ds:uri="http://schemas.microsoft.com/sharepoint/v3/contenttype/forms"/>
  </ds:schemaRefs>
</ds:datastoreItem>
</file>

<file path=customXml/itemProps2.xml><?xml version="1.0" encoding="utf-8"?>
<ds:datastoreItem xmlns:ds="http://schemas.openxmlformats.org/officeDocument/2006/customXml" ds:itemID="{F2AEDBC8-CE91-4AA3-B9A4-34F7569449BE}">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CAF729BE-1EB1-40F3-9D97-7E8D0C328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60</cp:revision>
  <dcterms:created xsi:type="dcterms:W3CDTF">2023-03-07T18:30:00Z</dcterms:created>
  <dcterms:modified xsi:type="dcterms:W3CDTF">2023-03-13T19:50:00Z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