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B1E5F" w14:textId="44075DA1" w:rsidR="481AA4AE" w:rsidRDefault="481AA4AE" w:rsidP="481AA4AE">
      <w:pPr>
        <w:spacing w:after="0" w:line="240" w:lineRule="auto"/>
        <w:jc w:val="both"/>
        <w:rPr>
          <w:rFonts w:ascii="Cambria" w:eastAsia="Cambria" w:hAnsi="Cambria" w:cs="Cambria"/>
          <w:color w:val="000000" w:themeColor="text1"/>
        </w:rPr>
      </w:pPr>
      <w:r w:rsidRPr="007C12C5">
        <w:rPr>
          <w:rFonts w:ascii="Cambria" w:eastAsia="Cambria" w:hAnsi="Cambria" w:cs="Cambria"/>
          <w:color w:val="000000" w:themeColor="text1"/>
          <w:highlight w:val="yellow"/>
        </w:rPr>
        <w:t>August XX, 2022</w:t>
      </w:r>
    </w:p>
    <w:p w14:paraId="5C77B358" w14:textId="04BC50E2" w:rsidR="481AA4AE" w:rsidRDefault="481AA4AE" w:rsidP="481AA4AE">
      <w:pPr>
        <w:spacing w:after="0" w:line="240" w:lineRule="auto"/>
        <w:jc w:val="both"/>
        <w:rPr>
          <w:rFonts w:ascii="Cambria" w:eastAsia="Cambria" w:hAnsi="Cambria" w:cs="Cambria"/>
          <w:color w:val="000000" w:themeColor="text1"/>
        </w:rPr>
      </w:pPr>
      <w:r w:rsidRPr="481AA4AE">
        <w:rPr>
          <w:rFonts w:ascii="Cambria" w:eastAsia="Cambria" w:hAnsi="Cambria" w:cs="Cambria"/>
          <w:color w:val="000000" w:themeColor="text1"/>
        </w:rPr>
        <w:t xml:space="preserve"> </w:t>
      </w:r>
    </w:p>
    <w:p w14:paraId="4CF2A0FE" w14:textId="59A5E69B" w:rsidR="481AA4AE" w:rsidRDefault="481AA4AE" w:rsidP="481AA4AE">
      <w:pPr>
        <w:spacing w:after="0" w:line="240" w:lineRule="auto"/>
        <w:jc w:val="both"/>
        <w:rPr>
          <w:rFonts w:ascii="Cambria" w:eastAsia="Cambria" w:hAnsi="Cambria" w:cs="Cambria"/>
          <w:color w:val="000000" w:themeColor="text1"/>
        </w:rPr>
      </w:pPr>
      <w:r w:rsidRPr="481AA4AE">
        <w:rPr>
          <w:rFonts w:ascii="Cambria" w:eastAsia="Cambria" w:hAnsi="Cambria" w:cs="Cambria"/>
          <w:color w:val="000000" w:themeColor="text1"/>
        </w:rPr>
        <w:t>The Honorable Chiquita Brooks-</w:t>
      </w:r>
      <w:proofErr w:type="spellStart"/>
      <w:r w:rsidRPr="481AA4AE">
        <w:rPr>
          <w:rFonts w:ascii="Cambria" w:eastAsia="Cambria" w:hAnsi="Cambria" w:cs="Cambria"/>
          <w:color w:val="000000" w:themeColor="text1"/>
        </w:rPr>
        <w:t>LaSure</w:t>
      </w:r>
      <w:proofErr w:type="spellEnd"/>
    </w:p>
    <w:p w14:paraId="61844E44" w14:textId="115481E0" w:rsidR="481AA4AE" w:rsidRDefault="481AA4AE" w:rsidP="481AA4AE">
      <w:pPr>
        <w:spacing w:after="0" w:line="240" w:lineRule="auto"/>
        <w:jc w:val="both"/>
        <w:rPr>
          <w:rFonts w:ascii="Cambria" w:eastAsia="Cambria" w:hAnsi="Cambria" w:cs="Cambria"/>
          <w:color w:val="000000" w:themeColor="text1"/>
        </w:rPr>
      </w:pPr>
      <w:r w:rsidRPr="481AA4AE">
        <w:rPr>
          <w:rFonts w:ascii="Cambria" w:eastAsia="Cambria" w:hAnsi="Cambria" w:cs="Cambria"/>
          <w:color w:val="000000" w:themeColor="text1"/>
        </w:rPr>
        <w:t>Administrator</w:t>
      </w:r>
    </w:p>
    <w:p w14:paraId="4020764B" w14:textId="4EC29C92" w:rsidR="481AA4AE" w:rsidRDefault="481AA4AE" w:rsidP="481AA4AE">
      <w:pPr>
        <w:spacing w:after="0" w:line="240" w:lineRule="auto"/>
        <w:jc w:val="both"/>
        <w:rPr>
          <w:rFonts w:ascii="Cambria" w:eastAsia="Cambria" w:hAnsi="Cambria" w:cs="Cambria"/>
          <w:color w:val="000000" w:themeColor="text1"/>
        </w:rPr>
      </w:pPr>
      <w:r w:rsidRPr="481AA4AE">
        <w:rPr>
          <w:rFonts w:ascii="Cambria" w:eastAsia="Cambria" w:hAnsi="Cambria" w:cs="Cambria"/>
          <w:color w:val="000000" w:themeColor="text1"/>
        </w:rPr>
        <w:t>Centers for Medicare and Medicaid Services</w:t>
      </w:r>
    </w:p>
    <w:p w14:paraId="2F6A1B9E" w14:textId="766AA753" w:rsidR="481AA4AE" w:rsidRDefault="481AA4AE" w:rsidP="481AA4AE">
      <w:pPr>
        <w:spacing w:after="0" w:line="240" w:lineRule="auto"/>
        <w:jc w:val="both"/>
        <w:rPr>
          <w:rFonts w:ascii="Cambria" w:eastAsia="Cambria" w:hAnsi="Cambria" w:cs="Cambria"/>
          <w:color w:val="000000" w:themeColor="text1"/>
        </w:rPr>
      </w:pPr>
      <w:r w:rsidRPr="481AA4AE">
        <w:rPr>
          <w:rFonts w:ascii="Cambria" w:eastAsia="Cambria" w:hAnsi="Cambria" w:cs="Cambria"/>
          <w:color w:val="000000" w:themeColor="text1"/>
        </w:rPr>
        <w:t>Hubert H. Humphrey Building</w:t>
      </w:r>
    </w:p>
    <w:p w14:paraId="0807B6FE" w14:textId="792EDC14" w:rsidR="481AA4AE" w:rsidRDefault="481AA4AE" w:rsidP="481AA4AE">
      <w:pPr>
        <w:spacing w:after="0" w:line="240" w:lineRule="auto"/>
        <w:jc w:val="both"/>
        <w:rPr>
          <w:rFonts w:ascii="Cambria" w:eastAsia="Cambria" w:hAnsi="Cambria" w:cs="Cambria"/>
          <w:color w:val="000000" w:themeColor="text1"/>
        </w:rPr>
      </w:pPr>
      <w:r w:rsidRPr="481AA4AE">
        <w:rPr>
          <w:rFonts w:ascii="Cambria" w:eastAsia="Cambria" w:hAnsi="Cambria" w:cs="Cambria"/>
          <w:color w:val="000000" w:themeColor="text1"/>
        </w:rPr>
        <w:t xml:space="preserve">200 Independence Avenue, SW, </w:t>
      </w:r>
    </w:p>
    <w:p w14:paraId="7765130D" w14:textId="7B5C50DC" w:rsidR="481AA4AE" w:rsidRDefault="481AA4AE" w:rsidP="481AA4AE">
      <w:pPr>
        <w:spacing w:after="0" w:line="240" w:lineRule="auto"/>
        <w:jc w:val="both"/>
        <w:rPr>
          <w:rFonts w:ascii="Cambria" w:eastAsia="Cambria" w:hAnsi="Cambria" w:cs="Cambria"/>
          <w:color w:val="000000" w:themeColor="text1"/>
        </w:rPr>
      </w:pPr>
      <w:r w:rsidRPr="481AA4AE">
        <w:rPr>
          <w:rFonts w:ascii="Cambria" w:eastAsia="Cambria" w:hAnsi="Cambria" w:cs="Cambria"/>
          <w:color w:val="000000" w:themeColor="text1"/>
        </w:rPr>
        <w:t xml:space="preserve">Room 445-G </w:t>
      </w:r>
    </w:p>
    <w:p w14:paraId="09486E01" w14:textId="180D7E15" w:rsidR="481AA4AE" w:rsidRDefault="481AA4AE" w:rsidP="481AA4AE">
      <w:pPr>
        <w:spacing w:after="0" w:line="240" w:lineRule="auto"/>
        <w:jc w:val="both"/>
        <w:rPr>
          <w:rFonts w:ascii="Cambria" w:eastAsia="Cambria" w:hAnsi="Cambria" w:cs="Cambria"/>
          <w:color w:val="000000" w:themeColor="text1"/>
        </w:rPr>
      </w:pPr>
      <w:r w:rsidRPr="481AA4AE">
        <w:rPr>
          <w:rFonts w:ascii="Cambria" w:eastAsia="Cambria" w:hAnsi="Cambria" w:cs="Cambria"/>
          <w:color w:val="000000" w:themeColor="text1"/>
        </w:rPr>
        <w:t>Washington, D.C. 20201</w:t>
      </w:r>
    </w:p>
    <w:p w14:paraId="3F508FDD" w14:textId="37F61FA0" w:rsidR="481AA4AE" w:rsidRDefault="481AA4AE" w:rsidP="481AA4AE">
      <w:pPr>
        <w:spacing w:after="0" w:line="240" w:lineRule="auto"/>
        <w:jc w:val="both"/>
        <w:rPr>
          <w:rFonts w:ascii="Cambria" w:eastAsia="Cambria" w:hAnsi="Cambria" w:cs="Cambria"/>
          <w:color w:val="000000" w:themeColor="text1"/>
        </w:rPr>
      </w:pPr>
    </w:p>
    <w:p w14:paraId="23CC6F80" w14:textId="0704AC22" w:rsidR="481AA4AE" w:rsidRDefault="481AA4AE" w:rsidP="1FC32732">
      <w:pPr>
        <w:spacing w:after="0" w:line="240" w:lineRule="auto"/>
        <w:jc w:val="both"/>
        <w:rPr>
          <w:rFonts w:ascii="Cambria" w:eastAsia="Cambria" w:hAnsi="Cambria" w:cs="Cambria"/>
          <w:b/>
          <w:bCs/>
          <w:color w:val="000000" w:themeColor="text1"/>
        </w:rPr>
      </w:pPr>
      <w:r w:rsidRPr="1FC32732">
        <w:rPr>
          <w:rFonts w:ascii="Cambria" w:eastAsia="Cambria" w:hAnsi="Cambria" w:cs="Cambria"/>
          <w:b/>
          <w:bCs/>
          <w:color w:val="000000" w:themeColor="text1"/>
        </w:rPr>
        <w:t>RE: CMS-3419-P; Medicare and Medicaid Programs; Conditions of Participation (CoPs) for Rural Emergency Hospitals (REH) and Critical Access Hospital CoP Updates.</w:t>
      </w:r>
    </w:p>
    <w:p w14:paraId="352817DA" w14:textId="06783609" w:rsidR="481AA4AE" w:rsidRDefault="481AA4AE" w:rsidP="481AA4AE">
      <w:pPr>
        <w:spacing w:after="0" w:line="240" w:lineRule="auto"/>
        <w:jc w:val="both"/>
        <w:rPr>
          <w:rFonts w:ascii="Cambria" w:eastAsia="Cambria" w:hAnsi="Cambria" w:cs="Cambria"/>
          <w:color w:val="000000" w:themeColor="text1"/>
        </w:rPr>
      </w:pPr>
    </w:p>
    <w:p w14:paraId="6438BA5D" w14:textId="2DE1DFC0" w:rsidR="481AA4AE" w:rsidRDefault="481AA4AE" w:rsidP="481AA4AE">
      <w:pPr>
        <w:spacing w:after="0" w:line="240" w:lineRule="auto"/>
        <w:jc w:val="both"/>
        <w:rPr>
          <w:rFonts w:ascii="Cambria" w:eastAsia="Cambria" w:hAnsi="Cambria" w:cs="Cambria"/>
          <w:color w:val="000000" w:themeColor="text1"/>
        </w:rPr>
      </w:pPr>
      <w:r w:rsidRPr="481AA4AE">
        <w:rPr>
          <w:rFonts w:ascii="Cambria" w:eastAsia="Cambria" w:hAnsi="Cambria" w:cs="Cambria"/>
          <w:color w:val="000000" w:themeColor="text1"/>
        </w:rPr>
        <w:t>Dear Administrator Brooks-</w:t>
      </w:r>
      <w:proofErr w:type="spellStart"/>
      <w:r w:rsidRPr="481AA4AE">
        <w:rPr>
          <w:rFonts w:ascii="Cambria" w:eastAsia="Cambria" w:hAnsi="Cambria" w:cs="Cambria"/>
          <w:color w:val="000000" w:themeColor="text1"/>
        </w:rPr>
        <w:t>LaSure</w:t>
      </w:r>
      <w:proofErr w:type="spellEnd"/>
      <w:r w:rsidRPr="481AA4AE">
        <w:rPr>
          <w:rFonts w:ascii="Cambria" w:eastAsia="Cambria" w:hAnsi="Cambria" w:cs="Cambria"/>
          <w:color w:val="000000" w:themeColor="text1"/>
        </w:rPr>
        <w:t>,</w:t>
      </w:r>
    </w:p>
    <w:p w14:paraId="57391FEA" w14:textId="07F66E6F" w:rsidR="481AA4AE" w:rsidRDefault="481AA4AE" w:rsidP="481AA4AE">
      <w:pPr>
        <w:spacing w:after="0" w:line="240" w:lineRule="auto"/>
        <w:jc w:val="both"/>
        <w:rPr>
          <w:rFonts w:ascii="Cambria" w:eastAsia="Cambria" w:hAnsi="Cambria" w:cs="Cambria"/>
          <w:color w:val="000000" w:themeColor="text1"/>
        </w:rPr>
      </w:pPr>
    </w:p>
    <w:p w14:paraId="44AC30CA" w14:textId="0E17B590" w:rsidR="481AA4AE" w:rsidRDefault="481AA4AE" w:rsidP="481AA4AE">
      <w:pPr>
        <w:spacing w:line="257" w:lineRule="auto"/>
        <w:rPr>
          <w:rFonts w:ascii="Cambria" w:eastAsia="Cambria" w:hAnsi="Cambria" w:cs="Cambria"/>
        </w:rPr>
      </w:pPr>
      <w:r w:rsidRPr="1FC32732">
        <w:rPr>
          <w:rFonts w:ascii="Cambria" w:eastAsia="Cambria" w:hAnsi="Cambria" w:cs="Cambria"/>
          <w:color w:val="000000" w:themeColor="text1"/>
        </w:rPr>
        <w:t>[</w:t>
      </w:r>
      <w:r w:rsidRPr="1FC32732">
        <w:rPr>
          <w:rFonts w:ascii="Cambria" w:eastAsia="Cambria" w:hAnsi="Cambria" w:cs="Cambria"/>
          <w:color w:val="000000" w:themeColor="text1"/>
          <w:highlight w:val="yellow"/>
        </w:rPr>
        <w:t>YOUR ORGANIZATION</w:t>
      </w:r>
      <w:r w:rsidRPr="1FC32732">
        <w:rPr>
          <w:rFonts w:ascii="Cambria" w:eastAsia="Cambria" w:hAnsi="Cambria" w:cs="Cambria"/>
          <w:color w:val="000000" w:themeColor="text1"/>
        </w:rPr>
        <w:t>] is pleased to offer comments on the Centers for Medicare and Medicaid Services (CMS) proposed rule for the Medicare Conditions of Participation (CoPs) for Rural Emergency Hospitals (REH) and Critical Access Hospitals (CAH). We appreciate CMS’ continued commitment to the needs of the more than 60 million Americans that reside in rural areas.</w:t>
      </w:r>
    </w:p>
    <w:p w14:paraId="5A32EFC0" w14:textId="4BB31977" w:rsidR="481AA4AE" w:rsidRDefault="481AA4AE" w:rsidP="1FC32732">
      <w:pPr>
        <w:spacing w:after="0" w:line="240" w:lineRule="auto"/>
        <w:jc w:val="both"/>
        <w:rPr>
          <w:rFonts w:ascii="Cambria" w:eastAsia="Cambria" w:hAnsi="Cambria" w:cs="Cambria"/>
          <w:color w:val="000000" w:themeColor="text1"/>
        </w:rPr>
      </w:pPr>
      <w:r w:rsidRPr="1FC32732">
        <w:rPr>
          <w:rFonts w:ascii="Cambria" w:eastAsia="Cambria" w:hAnsi="Cambria" w:cs="Cambria"/>
          <w:color w:val="000000" w:themeColor="text1"/>
        </w:rPr>
        <w:t>[</w:t>
      </w:r>
      <w:r w:rsidRPr="1FC32732">
        <w:rPr>
          <w:rFonts w:ascii="Cambria" w:eastAsia="Cambria" w:hAnsi="Cambria" w:cs="Cambria"/>
          <w:color w:val="000000" w:themeColor="text1"/>
          <w:highlight w:val="yellow"/>
        </w:rPr>
        <w:t>BRIEF PARAGRAPH EXPLAINING YOUR ORGANIZATION AND IMPORTANCE OF REH CONDITIONS OF PARTICIPATION</w:t>
      </w:r>
      <w:r w:rsidRPr="1FC32732">
        <w:rPr>
          <w:rFonts w:ascii="Cambria" w:eastAsia="Cambria" w:hAnsi="Cambria" w:cs="Cambria"/>
          <w:color w:val="000000" w:themeColor="text1"/>
        </w:rPr>
        <w:t xml:space="preserve">] </w:t>
      </w:r>
    </w:p>
    <w:p w14:paraId="489712A9" w14:textId="4BAF4327" w:rsidR="481AA4AE" w:rsidRDefault="481AA4AE" w:rsidP="54260B89">
      <w:pPr>
        <w:spacing w:after="0" w:line="240" w:lineRule="auto"/>
        <w:jc w:val="both"/>
        <w:rPr>
          <w:rFonts w:ascii="Cambria" w:eastAsia="Cambria" w:hAnsi="Cambria" w:cs="Cambria"/>
          <w:color w:val="000000" w:themeColor="text1"/>
        </w:rPr>
      </w:pPr>
    </w:p>
    <w:p w14:paraId="3C063BBB" w14:textId="13038E30" w:rsidR="481AA4AE" w:rsidRDefault="481AA4AE" w:rsidP="54260B89">
      <w:pPr>
        <w:spacing w:after="0" w:line="240" w:lineRule="auto"/>
        <w:jc w:val="both"/>
        <w:rPr>
          <w:rFonts w:ascii="Cambria" w:eastAsia="Cambria" w:hAnsi="Cambria" w:cs="Cambria"/>
          <w:color w:val="000000" w:themeColor="text1"/>
        </w:rPr>
      </w:pPr>
      <w:r w:rsidRPr="54260B89">
        <w:rPr>
          <w:rFonts w:ascii="Cambria" w:eastAsia="Cambria" w:hAnsi="Cambria" w:cs="Cambria"/>
          <w:color w:val="000000" w:themeColor="text1"/>
        </w:rPr>
        <w:t>[</w:t>
      </w:r>
      <w:r w:rsidRPr="54260B89">
        <w:rPr>
          <w:rFonts w:ascii="Cambria" w:eastAsia="Cambria" w:hAnsi="Cambria" w:cs="Cambria"/>
          <w:color w:val="000000" w:themeColor="text1"/>
          <w:highlight w:val="yellow"/>
        </w:rPr>
        <w:t>YOUR ORGANIZATION</w:t>
      </w:r>
      <w:r w:rsidRPr="54260B89">
        <w:rPr>
          <w:rFonts w:ascii="Cambria" w:eastAsia="Cambria" w:hAnsi="Cambria" w:cs="Cambria"/>
          <w:color w:val="000000" w:themeColor="text1"/>
        </w:rPr>
        <w:t>] thanks CMS for the opportunity to comment on this proposed rule.</w:t>
      </w:r>
    </w:p>
    <w:p w14:paraId="07012274" w14:textId="2EF355D9" w:rsidR="54260B89" w:rsidRDefault="54260B89" w:rsidP="54260B89">
      <w:pPr>
        <w:spacing w:after="0" w:line="240" w:lineRule="auto"/>
        <w:jc w:val="both"/>
        <w:rPr>
          <w:rFonts w:ascii="Cambria" w:eastAsia="Cambria" w:hAnsi="Cambria" w:cs="Cambria"/>
          <w:color w:val="000000" w:themeColor="text1"/>
        </w:rPr>
      </w:pPr>
    </w:p>
    <w:p w14:paraId="0ECA5AC5" w14:textId="713E060B" w:rsidR="1FC32732" w:rsidRDefault="1FC32732" w:rsidP="1FC32732">
      <w:pPr>
        <w:spacing w:after="0" w:line="240" w:lineRule="auto"/>
        <w:jc w:val="both"/>
        <w:rPr>
          <w:rFonts w:ascii="Cambria" w:eastAsia="Cambria" w:hAnsi="Cambria" w:cs="Cambria"/>
        </w:rPr>
      </w:pPr>
      <w:r w:rsidRPr="447286C5">
        <w:rPr>
          <w:rFonts w:ascii="Cambria" w:eastAsia="Cambria" w:hAnsi="Cambria" w:cs="Cambria"/>
          <w:b/>
          <w:bCs/>
          <w:color w:val="000000" w:themeColor="text1"/>
          <w:u w:val="single"/>
        </w:rPr>
        <w:t>I.B. Statutory Authority and Establishment of Rural Emergency Hospitals as a Medicare Provider Type</w:t>
      </w:r>
    </w:p>
    <w:p w14:paraId="61BECEB4" w14:textId="31DA1723" w:rsidR="481AA4AE" w:rsidRDefault="481AA4AE" w:rsidP="447286C5">
      <w:pPr>
        <w:spacing w:after="0" w:line="240" w:lineRule="auto"/>
        <w:jc w:val="both"/>
        <w:rPr>
          <w:rFonts w:ascii="Cambria" w:eastAsia="Cambria" w:hAnsi="Cambria" w:cs="Cambria"/>
        </w:rPr>
      </w:pPr>
      <w:r w:rsidRPr="447286C5">
        <w:rPr>
          <w:rFonts w:ascii="Cambria" w:eastAsia="Cambria" w:hAnsi="Cambria" w:cs="Cambria"/>
          <w:color w:val="000000" w:themeColor="text1"/>
        </w:rPr>
        <w:t>[</w:t>
      </w:r>
      <w:r w:rsidRPr="447286C5">
        <w:rPr>
          <w:rFonts w:ascii="Cambria" w:eastAsia="Cambria" w:hAnsi="Cambria" w:cs="Cambria"/>
          <w:color w:val="000000" w:themeColor="text1"/>
          <w:highlight w:val="yellow"/>
        </w:rPr>
        <w:t>YOUR ORGANIZATION</w:t>
      </w:r>
      <w:r w:rsidRPr="447286C5">
        <w:rPr>
          <w:rFonts w:ascii="Cambria" w:eastAsia="Cambria" w:hAnsi="Cambria" w:cs="Cambria"/>
          <w:color w:val="000000" w:themeColor="text1"/>
        </w:rPr>
        <w:t xml:space="preserve">] </w:t>
      </w:r>
      <w:r w:rsidR="447286C5" w:rsidRPr="447286C5">
        <w:rPr>
          <w:rFonts w:ascii="Cambria" w:eastAsia="Cambria" w:hAnsi="Cambria" w:cs="Cambria"/>
          <w:color w:val="000000" w:themeColor="text1"/>
        </w:rPr>
        <w:t>understands that hospitals closed prior to passage of the Consolidated Appropriations Act, 2021, on December 27, 2020, are statutorily prohibited from converting to an REH. However, we</w:t>
      </w:r>
      <w:r w:rsidR="447286C5" w:rsidRPr="447286C5">
        <w:rPr>
          <w:rFonts w:ascii="Cambria" w:eastAsia="Cambria" w:hAnsi="Cambria" w:cs="Cambria"/>
          <w:b/>
          <w:bCs/>
          <w:color w:val="000000" w:themeColor="text1"/>
        </w:rPr>
        <w:t xml:space="preserve"> </w:t>
      </w:r>
      <w:r w:rsidR="447286C5" w:rsidRPr="447286C5">
        <w:rPr>
          <w:rFonts w:ascii="Cambria" w:eastAsia="Cambria" w:hAnsi="Cambria" w:cs="Cambria"/>
          <w:color w:val="000000" w:themeColor="text1"/>
        </w:rPr>
        <w:t>suggest that CMS clarify that hospitals that closed after December 27, 2020, are eligible for conversion to REH status. This action is not contrary to the statute and would provide needed clarification for our community.</w:t>
      </w:r>
    </w:p>
    <w:p w14:paraId="4AB98A5B" w14:textId="5824D654" w:rsidR="447286C5" w:rsidRDefault="447286C5" w:rsidP="447286C5">
      <w:pPr>
        <w:spacing w:after="0" w:line="240" w:lineRule="auto"/>
        <w:jc w:val="both"/>
        <w:rPr>
          <w:rFonts w:ascii="Cambria" w:eastAsia="Cambria" w:hAnsi="Cambria" w:cs="Cambria"/>
          <w:color w:val="000000" w:themeColor="text1"/>
        </w:rPr>
      </w:pPr>
    </w:p>
    <w:p w14:paraId="1E73EC36" w14:textId="5681BFBB" w:rsidR="447286C5" w:rsidRDefault="447286C5" w:rsidP="447286C5">
      <w:pPr>
        <w:spacing w:after="0" w:line="240" w:lineRule="auto"/>
        <w:jc w:val="both"/>
        <w:rPr>
          <w:rFonts w:ascii="Cambria" w:eastAsia="Cambria" w:hAnsi="Cambria" w:cs="Cambria"/>
          <w:color w:val="000000" w:themeColor="text1"/>
        </w:rPr>
      </w:pPr>
      <w:r w:rsidRPr="447286C5">
        <w:rPr>
          <w:rFonts w:ascii="Cambria" w:eastAsia="Cambria" w:hAnsi="Cambria" w:cs="Cambria"/>
          <w:color w:val="000000" w:themeColor="text1"/>
        </w:rPr>
        <w:t xml:space="preserve">340B is a valuable program for rural hospitals. While we </w:t>
      </w:r>
      <w:r w:rsidR="00DA43F8">
        <w:rPr>
          <w:rFonts w:ascii="Cambria" w:eastAsia="Cambria" w:hAnsi="Cambria" w:cs="Cambria"/>
          <w:color w:val="000000" w:themeColor="text1"/>
        </w:rPr>
        <w:t>anticipate</w:t>
      </w:r>
      <w:r w:rsidR="00DA43F8" w:rsidRPr="447286C5">
        <w:rPr>
          <w:rFonts w:ascii="Cambria" w:eastAsia="Cambria" w:hAnsi="Cambria" w:cs="Cambria"/>
          <w:color w:val="000000" w:themeColor="text1"/>
        </w:rPr>
        <w:t xml:space="preserve"> </w:t>
      </w:r>
      <w:r w:rsidRPr="447286C5">
        <w:rPr>
          <w:rFonts w:ascii="Cambria" w:eastAsia="Cambria" w:hAnsi="Cambria" w:cs="Cambria"/>
          <w:color w:val="000000" w:themeColor="text1"/>
        </w:rPr>
        <w:t>that a change to the 340B</w:t>
      </w:r>
      <w:r w:rsidR="00B86CC2">
        <w:rPr>
          <w:rFonts w:ascii="Cambria" w:eastAsia="Cambria" w:hAnsi="Cambria" w:cs="Cambria"/>
          <w:color w:val="000000" w:themeColor="text1"/>
        </w:rPr>
        <w:t xml:space="preserve"> statute</w:t>
      </w:r>
      <w:r w:rsidRPr="447286C5">
        <w:rPr>
          <w:rFonts w:ascii="Cambria" w:eastAsia="Cambria" w:hAnsi="Cambria" w:cs="Cambria"/>
          <w:color w:val="000000" w:themeColor="text1"/>
        </w:rPr>
        <w:t xml:space="preserve"> would be required to allow REHs to participate, we stress the importance of this action and urge </w:t>
      </w:r>
      <w:r w:rsidR="00C3793F">
        <w:rPr>
          <w:rFonts w:ascii="Cambria" w:eastAsia="Cambria" w:hAnsi="Cambria" w:cs="Cambria"/>
          <w:color w:val="000000" w:themeColor="text1"/>
        </w:rPr>
        <w:t>the Administration</w:t>
      </w:r>
      <w:r w:rsidR="00DA43F8" w:rsidRPr="447286C5">
        <w:rPr>
          <w:rFonts w:ascii="Cambria" w:eastAsia="Cambria" w:hAnsi="Cambria" w:cs="Cambria"/>
          <w:color w:val="000000" w:themeColor="text1"/>
        </w:rPr>
        <w:t xml:space="preserve"> </w:t>
      </w:r>
      <w:r w:rsidRPr="447286C5">
        <w:rPr>
          <w:rFonts w:ascii="Cambria" w:eastAsia="Cambria" w:hAnsi="Cambria" w:cs="Cambria"/>
          <w:color w:val="000000" w:themeColor="text1"/>
        </w:rPr>
        <w:t>to work alongside Congress to ensure this change is made. [</w:t>
      </w:r>
      <w:r w:rsidRPr="447286C5">
        <w:rPr>
          <w:rFonts w:ascii="Cambria" w:eastAsia="Cambria" w:hAnsi="Cambria" w:cs="Cambria"/>
          <w:color w:val="000000" w:themeColor="text1"/>
          <w:highlight w:val="yellow"/>
        </w:rPr>
        <w:t>Explain how 340B has been valuable to your hospital.</w:t>
      </w:r>
      <w:r w:rsidRPr="447286C5">
        <w:rPr>
          <w:rFonts w:ascii="Cambria" w:eastAsia="Cambria" w:hAnsi="Cambria" w:cs="Cambria"/>
          <w:color w:val="000000" w:themeColor="text1"/>
        </w:rPr>
        <w:t xml:space="preserve">] Without REH participation in 340B, far fewer hospitals will consider converting as 340B payments are vital to the financial viability of rural hospitals.  </w:t>
      </w:r>
    </w:p>
    <w:p w14:paraId="6ED04E4B" w14:textId="5DB835C0" w:rsidR="1FC32732" w:rsidRDefault="1FC32732" w:rsidP="1FC32732">
      <w:pPr>
        <w:spacing w:after="0" w:line="240" w:lineRule="auto"/>
        <w:jc w:val="both"/>
        <w:rPr>
          <w:rFonts w:ascii="Cambria" w:eastAsia="Cambria" w:hAnsi="Cambria" w:cs="Cambria"/>
          <w:b/>
          <w:bCs/>
          <w:color w:val="000000" w:themeColor="text1"/>
          <w:u w:val="single"/>
        </w:rPr>
      </w:pPr>
    </w:p>
    <w:p w14:paraId="374A816A" w14:textId="6F177AE9" w:rsidR="1FC32732" w:rsidRDefault="1FC32732" w:rsidP="1FC32732">
      <w:pPr>
        <w:spacing w:after="0" w:line="240" w:lineRule="auto"/>
        <w:jc w:val="both"/>
        <w:rPr>
          <w:rFonts w:ascii="Cambria" w:eastAsia="Cambria" w:hAnsi="Cambria" w:cs="Cambria"/>
          <w:color w:val="000000" w:themeColor="text1"/>
        </w:rPr>
      </w:pPr>
      <w:r w:rsidRPr="1FC32732">
        <w:rPr>
          <w:rFonts w:ascii="Cambria" w:eastAsia="Cambria" w:hAnsi="Cambria" w:cs="Cambria"/>
          <w:b/>
          <w:bCs/>
          <w:color w:val="000000" w:themeColor="text1"/>
          <w:u w:val="single"/>
        </w:rPr>
        <w:t>II.A.6. Governing Body and Organizational Structure of the REH</w:t>
      </w:r>
    </w:p>
    <w:p w14:paraId="4F3E320D" w14:textId="415BA160" w:rsidR="1FC32732" w:rsidRDefault="1FC32732" w:rsidP="1FC32732">
      <w:pPr>
        <w:spacing w:after="0" w:line="240" w:lineRule="auto"/>
        <w:jc w:val="both"/>
      </w:pPr>
      <w:r w:rsidRPr="1FC32732">
        <w:rPr>
          <w:rFonts w:ascii="Cambria" w:eastAsia="Cambria" w:hAnsi="Cambria" w:cs="Cambria"/>
          <w:b/>
          <w:bCs/>
          <w:color w:val="000000" w:themeColor="text1"/>
        </w:rPr>
        <w:t>We applaud CMS’ efforts to allow maximum flexibility in REH structure and staffing.</w:t>
      </w:r>
      <w:r w:rsidRPr="1FC32732">
        <w:rPr>
          <w:rFonts w:ascii="Cambria" w:eastAsia="Cambria" w:hAnsi="Cambria" w:cs="Cambria"/>
          <w:color w:val="000000" w:themeColor="text1"/>
        </w:rPr>
        <w:t xml:space="preserve"> </w:t>
      </w:r>
      <w:bookmarkStart w:id="0" w:name="_Int_BSE48gCi"/>
      <w:r w:rsidRPr="1FC32732">
        <w:rPr>
          <w:rFonts w:ascii="Cambria" w:eastAsia="Cambria" w:hAnsi="Cambria" w:cs="Cambria"/>
          <w:color w:val="000000" w:themeColor="text1"/>
        </w:rPr>
        <w:t>In particular, we</w:t>
      </w:r>
      <w:bookmarkEnd w:id="0"/>
      <w:r w:rsidRPr="1FC32732">
        <w:rPr>
          <w:rFonts w:ascii="Cambria" w:eastAsia="Cambria" w:hAnsi="Cambria" w:cs="Cambria"/>
          <w:color w:val="000000" w:themeColor="text1"/>
        </w:rPr>
        <w:t xml:space="preserve"> support the option for the governing body to grant medical staff privileges to nurse practitioners (NP) and physician assistants (PA), as allowable under state scope of practice laws. Authorizing NPs and PAs to practice at the top of their education and license mitigates some workforce challenges that rural communities face.</w:t>
      </w:r>
    </w:p>
    <w:p w14:paraId="7C0DF839" w14:textId="1694FD22" w:rsidR="1FC32732" w:rsidRDefault="1FC32732" w:rsidP="1FC32732">
      <w:pPr>
        <w:spacing w:after="0" w:line="240" w:lineRule="auto"/>
        <w:jc w:val="both"/>
        <w:rPr>
          <w:rFonts w:ascii="Cambria" w:eastAsia="Cambria" w:hAnsi="Cambria" w:cs="Cambria"/>
          <w:color w:val="000000" w:themeColor="text1"/>
        </w:rPr>
      </w:pPr>
    </w:p>
    <w:p w14:paraId="7A8A6F8D" w14:textId="436754C1" w:rsidR="1FC32732" w:rsidRDefault="1FC32732" w:rsidP="1FC32732">
      <w:pPr>
        <w:spacing w:after="0" w:line="240" w:lineRule="auto"/>
        <w:jc w:val="both"/>
        <w:rPr>
          <w:rFonts w:ascii="Cambria" w:eastAsia="Cambria" w:hAnsi="Cambria" w:cs="Cambria"/>
          <w:color w:val="000000" w:themeColor="text1"/>
        </w:rPr>
      </w:pPr>
      <w:r w:rsidRPr="1FC32732">
        <w:rPr>
          <w:rFonts w:ascii="Cambria" w:eastAsia="Cambria" w:hAnsi="Cambria" w:cs="Cambria"/>
          <w:color w:val="000000" w:themeColor="text1"/>
        </w:rPr>
        <w:t>[</w:t>
      </w:r>
      <w:r w:rsidRPr="1FC32732">
        <w:rPr>
          <w:rFonts w:ascii="Cambria" w:eastAsia="Cambria" w:hAnsi="Cambria" w:cs="Cambria"/>
          <w:color w:val="000000" w:themeColor="text1"/>
          <w:highlight w:val="yellow"/>
        </w:rPr>
        <w:t>Explain how your organization uses non-physician providers to furnish care. Emphasize that this helps address workforce shortages.</w:t>
      </w:r>
      <w:r w:rsidRPr="1FC32732">
        <w:rPr>
          <w:rFonts w:ascii="Cambria" w:eastAsia="Cambria" w:hAnsi="Cambria" w:cs="Cambria"/>
          <w:color w:val="000000" w:themeColor="text1"/>
        </w:rPr>
        <w:t>]</w:t>
      </w:r>
    </w:p>
    <w:p w14:paraId="11228BE9" w14:textId="454C3186" w:rsidR="1FC32732" w:rsidRDefault="1FC32732" w:rsidP="1FC32732">
      <w:pPr>
        <w:spacing w:after="0" w:line="240" w:lineRule="auto"/>
        <w:jc w:val="both"/>
        <w:rPr>
          <w:rFonts w:ascii="Cambria" w:eastAsia="Cambria" w:hAnsi="Cambria" w:cs="Cambria"/>
          <w:color w:val="000000" w:themeColor="text1"/>
        </w:rPr>
      </w:pPr>
    </w:p>
    <w:p w14:paraId="58FAB3FA" w14:textId="30394EB0" w:rsidR="54260B89" w:rsidRDefault="54260B89" w:rsidP="54260B89">
      <w:pPr>
        <w:spacing w:after="0" w:line="240" w:lineRule="auto"/>
        <w:jc w:val="both"/>
        <w:rPr>
          <w:rFonts w:ascii="Cambria" w:eastAsia="Cambria" w:hAnsi="Cambria" w:cs="Cambria"/>
          <w:b/>
          <w:bCs/>
          <w:color w:val="000000" w:themeColor="text1"/>
          <w:u w:val="single"/>
        </w:rPr>
      </w:pPr>
      <w:r w:rsidRPr="1FC32732">
        <w:rPr>
          <w:rFonts w:ascii="Cambria" w:eastAsia="Cambria" w:hAnsi="Cambria" w:cs="Cambria"/>
          <w:b/>
          <w:bCs/>
          <w:color w:val="000000" w:themeColor="text1"/>
          <w:u w:val="single"/>
        </w:rPr>
        <w:t>II.A.8: Emergency Services</w:t>
      </w:r>
    </w:p>
    <w:p w14:paraId="31A8C4D1" w14:textId="246770E1" w:rsidR="1FC32732" w:rsidRDefault="1FC32732" w:rsidP="1FC32732">
      <w:pPr>
        <w:spacing w:after="0" w:line="240" w:lineRule="auto"/>
        <w:jc w:val="both"/>
        <w:rPr>
          <w:rFonts w:ascii="Cambria" w:eastAsia="Cambria" w:hAnsi="Cambria" w:cs="Cambria"/>
          <w:color w:val="000000" w:themeColor="text1"/>
        </w:rPr>
      </w:pPr>
      <w:r w:rsidRPr="1FC32732">
        <w:rPr>
          <w:rFonts w:ascii="Cambria" w:eastAsia="Cambria" w:hAnsi="Cambria" w:cs="Cambria"/>
          <w:color w:val="000000" w:themeColor="text1"/>
        </w:rPr>
        <w:lastRenderedPageBreak/>
        <w:t>[</w:t>
      </w:r>
      <w:r w:rsidRPr="1FC32732">
        <w:rPr>
          <w:rFonts w:ascii="Cambria" w:eastAsia="Cambria" w:hAnsi="Cambria" w:cs="Cambria"/>
          <w:color w:val="000000" w:themeColor="text1"/>
          <w:highlight w:val="yellow"/>
        </w:rPr>
        <w:t>YOUR ORGANIZATION</w:t>
      </w:r>
      <w:r w:rsidRPr="1FC32732">
        <w:rPr>
          <w:rFonts w:ascii="Cambria" w:eastAsia="Cambria" w:hAnsi="Cambria" w:cs="Cambria"/>
          <w:color w:val="000000" w:themeColor="text1"/>
        </w:rPr>
        <w:t>] supports CMS’ proposal to adopt CAH emergency services CoPs for personnel. Specifically, staffing flexibilities are crucial as workforce remains a pressing and enduring challenge for rural providers. [</w:t>
      </w:r>
      <w:r w:rsidRPr="1FC32732">
        <w:rPr>
          <w:rFonts w:ascii="Cambria" w:eastAsia="Cambria" w:hAnsi="Cambria" w:cs="Cambria"/>
          <w:color w:val="000000" w:themeColor="text1"/>
          <w:highlight w:val="yellow"/>
        </w:rPr>
        <w:t>Add examples from your community.</w:t>
      </w:r>
      <w:r w:rsidRPr="1FC32732">
        <w:rPr>
          <w:rFonts w:ascii="Cambria" w:eastAsia="Cambria" w:hAnsi="Cambria" w:cs="Cambria"/>
          <w:color w:val="000000" w:themeColor="text1"/>
        </w:rPr>
        <w:t>] Allowing a physician, PA, NP, or clinical nurse specialist (CNS) to be on call within thirty minutes of the REH provides needed flexibility. It is appropriate, given the expected low volume of patients and services, that a practitioner is not required to be on-site at all times. [</w:t>
      </w:r>
      <w:r w:rsidRPr="1FC32732">
        <w:rPr>
          <w:rFonts w:ascii="Cambria" w:eastAsia="Cambria" w:hAnsi="Cambria" w:cs="Cambria"/>
          <w:color w:val="000000" w:themeColor="text1"/>
          <w:highlight w:val="yellow"/>
        </w:rPr>
        <w:t>Elaborate on how this is necessary in your area or for your hospital.</w:t>
      </w:r>
      <w:r w:rsidRPr="1FC32732">
        <w:rPr>
          <w:rFonts w:ascii="Cambria" w:eastAsia="Cambria" w:hAnsi="Cambria" w:cs="Cambria"/>
          <w:color w:val="000000" w:themeColor="text1"/>
        </w:rPr>
        <w:t xml:space="preserve">] </w:t>
      </w:r>
    </w:p>
    <w:p w14:paraId="6F37D540" w14:textId="2F8865A0" w:rsidR="1FC32732" w:rsidRDefault="1FC32732" w:rsidP="1FC32732">
      <w:pPr>
        <w:spacing w:after="0" w:line="240" w:lineRule="auto"/>
        <w:jc w:val="both"/>
        <w:rPr>
          <w:rFonts w:ascii="Cambria" w:eastAsia="Cambria" w:hAnsi="Cambria" w:cs="Cambria"/>
          <w:color w:val="000000" w:themeColor="text1"/>
        </w:rPr>
      </w:pPr>
    </w:p>
    <w:p w14:paraId="64EB69D7" w14:textId="3373B6A4" w:rsidR="1FC32732" w:rsidRDefault="1FC32732" w:rsidP="1FC32732">
      <w:pPr>
        <w:spacing w:after="0" w:line="240" w:lineRule="auto"/>
        <w:jc w:val="both"/>
        <w:rPr>
          <w:rFonts w:ascii="Cambria" w:eastAsia="Cambria" w:hAnsi="Cambria" w:cs="Cambria"/>
          <w:b/>
          <w:bCs/>
          <w:color w:val="000000" w:themeColor="text1"/>
          <w:u w:val="single"/>
        </w:rPr>
      </w:pPr>
      <w:r w:rsidRPr="1FC32732">
        <w:rPr>
          <w:rFonts w:ascii="Cambria" w:eastAsia="Cambria" w:hAnsi="Cambria" w:cs="Cambria"/>
          <w:b/>
          <w:bCs/>
          <w:color w:val="000000" w:themeColor="text1"/>
          <w:u w:val="single"/>
        </w:rPr>
        <w:t>II.A.12. Additional Outpatient Medical and Health Services</w:t>
      </w:r>
    </w:p>
    <w:p w14:paraId="2CF242B3" w14:textId="16BD9903" w:rsidR="54260B89" w:rsidRDefault="54260B89" w:rsidP="1FC32732">
      <w:pPr>
        <w:spacing w:after="0" w:line="240" w:lineRule="auto"/>
        <w:jc w:val="both"/>
        <w:rPr>
          <w:rFonts w:ascii="Cambria" w:eastAsia="Cambria" w:hAnsi="Cambria" w:cs="Cambria"/>
        </w:rPr>
      </w:pPr>
      <w:r w:rsidRPr="1FC32732">
        <w:rPr>
          <w:rFonts w:ascii="Cambria" w:eastAsia="Cambria" w:hAnsi="Cambria" w:cs="Cambria"/>
          <w:color w:val="000000" w:themeColor="text1"/>
        </w:rPr>
        <w:t>[</w:t>
      </w:r>
      <w:r w:rsidRPr="1FC32732">
        <w:rPr>
          <w:rFonts w:ascii="Cambria" w:eastAsia="Cambria" w:hAnsi="Cambria" w:cs="Cambria"/>
          <w:color w:val="000000" w:themeColor="text1"/>
          <w:highlight w:val="yellow"/>
        </w:rPr>
        <w:t>YOUR ORGANIZATION</w:t>
      </w:r>
      <w:r w:rsidRPr="1FC32732">
        <w:rPr>
          <w:rFonts w:ascii="Cambria" w:eastAsia="Cambria" w:hAnsi="Cambria" w:cs="Cambria"/>
          <w:color w:val="000000" w:themeColor="text1"/>
        </w:rPr>
        <w:t xml:space="preserve">] commends </w:t>
      </w:r>
      <w:r w:rsidR="1FC32732" w:rsidRPr="1FC32732">
        <w:rPr>
          <w:rFonts w:ascii="Cambria" w:eastAsia="Cambria" w:hAnsi="Cambria" w:cs="Cambria"/>
          <w:color w:val="000000" w:themeColor="text1"/>
        </w:rPr>
        <w:t xml:space="preserve">CMS for recognizing that REHs should furnish outpatient services according to the needs of the community it serves. We applaud CMS for not placing limits on the types of outpatient services that REHs may choose to furnish. Allowing an REH to provide outpatient services that are typically delivered at a physician’s office, or another point of entry increases access to health care for rural communities. </w:t>
      </w:r>
      <w:r w:rsidRPr="1FC32732">
        <w:rPr>
          <w:rFonts w:ascii="Cambria" w:eastAsia="Cambria" w:hAnsi="Cambria" w:cs="Cambria"/>
          <w:color w:val="000000" w:themeColor="text1"/>
        </w:rPr>
        <w:t>[</w:t>
      </w:r>
      <w:r w:rsidRPr="1FC32732">
        <w:rPr>
          <w:rFonts w:ascii="Cambria" w:eastAsia="Cambria" w:hAnsi="Cambria" w:cs="Cambria"/>
          <w:color w:val="000000" w:themeColor="text1"/>
          <w:highlight w:val="yellow"/>
        </w:rPr>
        <w:t>Explain specifically how your organization will benefit from this and what outpatient services furnished by an REH will be most beneficial.</w:t>
      </w:r>
      <w:r w:rsidRPr="1FC32732">
        <w:rPr>
          <w:rFonts w:ascii="Cambria" w:eastAsia="Cambria" w:hAnsi="Cambria" w:cs="Cambria"/>
          <w:color w:val="000000" w:themeColor="text1"/>
        </w:rPr>
        <w:t>]</w:t>
      </w:r>
    </w:p>
    <w:p w14:paraId="037655F3" w14:textId="208177E9" w:rsidR="1FC32732" w:rsidRDefault="1FC32732" w:rsidP="1FC32732">
      <w:pPr>
        <w:spacing w:after="0" w:line="240" w:lineRule="auto"/>
        <w:jc w:val="both"/>
        <w:rPr>
          <w:rFonts w:ascii="Cambria" w:eastAsia="Cambria" w:hAnsi="Cambria" w:cs="Cambria"/>
          <w:color w:val="000000" w:themeColor="text1"/>
        </w:rPr>
      </w:pPr>
    </w:p>
    <w:p w14:paraId="095E590D" w14:textId="6CA67909" w:rsidR="1FC32732" w:rsidRDefault="1FC32732" w:rsidP="00F863EE">
      <w:pPr>
        <w:spacing w:after="0" w:line="240" w:lineRule="auto"/>
        <w:jc w:val="both"/>
        <w:rPr>
          <w:rFonts w:ascii="Cambria" w:eastAsia="Cambria" w:hAnsi="Cambria" w:cs="Cambria"/>
          <w:color w:val="000000" w:themeColor="text1"/>
        </w:rPr>
      </w:pPr>
      <w:r w:rsidRPr="447286C5">
        <w:rPr>
          <w:rFonts w:ascii="Cambria" w:eastAsia="Cambria" w:hAnsi="Cambria" w:cs="Cambria"/>
          <w:color w:val="000000" w:themeColor="text1"/>
        </w:rPr>
        <w:t>[</w:t>
      </w:r>
      <w:r w:rsidRPr="447286C5">
        <w:rPr>
          <w:rFonts w:ascii="Cambria" w:eastAsia="Cambria" w:hAnsi="Cambria" w:cs="Cambria"/>
          <w:color w:val="000000" w:themeColor="text1"/>
          <w:highlight w:val="yellow"/>
        </w:rPr>
        <w:t>YOUR ORGANIZATION</w:t>
      </w:r>
      <w:r w:rsidRPr="447286C5">
        <w:rPr>
          <w:rFonts w:ascii="Cambria" w:eastAsia="Cambria" w:hAnsi="Cambria" w:cs="Cambria"/>
          <w:color w:val="000000" w:themeColor="text1"/>
        </w:rPr>
        <w:t xml:space="preserve">] requests clarification from CMS on provider-based rural health clinics (RHC). </w:t>
      </w:r>
      <w:r w:rsidR="00C36043">
        <w:rPr>
          <w:rFonts w:ascii="Cambria" w:eastAsia="Cambria" w:hAnsi="Cambria" w:cs="Cambria"/>
          <w:color w:val="000000" w:themeColor="text1"/>
        </w:rPr>
        <w:t>Consistent with legislative intent</w:t>
      </w:r>
      <w:r w:rsidR="00C36043">
        <w:rPr>
          <w:rStyle w:val="FootnoteReference"/>
          <w:rFonts w:ascii="Cambria" w:eastAsia="Cambria" w:hAnsi="Cambria" w:cs="Cambria"/>
          <w:color w:val="000000" w:themeColor="text1"/>
        </w:rPr>
        <w:footnoteReference w:id="1"/>
      </w:r>
      <w:r w:rsidR="00C36043">
        <w:rPr>
          <w:rFonts w:ascii="Cambria" w:eastAsia="Cambria" w:hAnsi="Cambria" w:cs="Cambria"/>
          <w:color w:val="000000" w:themeColor="text1"/>
        </w:rPr>
        <w:t>, CMS must provide guidelines for REH operation of provider-based RHCs</w:t>
      </w:r>
      <w:r w:rsidR="00C36043" w:rsidRPr="447286C5">
        <w:rPr>
          <w:rFonts w:ascii="Cambria" w:eastAsia="Cambria" w:hAnsi="Cambria" w:cs="Cambria"/>
          <w:color w:val="000000" w:themeColor="text1"/>
        </w:rPr>
        <w:t xml:space="preserve">. </w:t>
      </w:r>
      <w:r w:rsidRPr="447286C5">
        <w:rPr>
          <w:rFonts w:ascii="Cambria" w:eastAsia="Cambria" w:hAnsi="Cambria" w:cs="Cambria"/>
          <w:color w:val="000000" w:themeColor="text1"/>
        </w:rPr>
        <w:t xml:space="preserve">As the CoPs stand, it is unclear whether REHs are authorized to operate </w:t>
      </w:r>
      <w:bookmarkStart w:id="1" w:name="_Int_igl4nIMz"/>
      <w:r w:rsidRPr="447286C5">
        <w:rPr>
          <w:rFonts w:ascii="Cambria" w:eastAsia="Cambria" w:hAnsi="Cambria" w:cs="Cambria"/>
          <w:color w:val="000000" w:themeColor="text1"/>
        </w:rPr>
        <w:t>provider-based</w:t>
      </w:r>
      <w:bookmarkEnd w:id="1"/>
      <w:r w:rsidRPr="447286C5">
        <w:rPr>
          <w:rFonts w:ascii="Cambria" w:eastAsia="Cambria" w:hAnsi="Cambria" w:cs="Cambria"/>
          <w:color w:val="000000" w:themeColor="text1"/>
        </w:rPr>
        <w:t xml:space="preserve"> RHCs. Many hospitals [</w:t>
      </w:r>
      <w:r w:rsidRPr="447286C5">
        <w:rPr>
          <w:rFonts w:ascii="Cambria" w:eastAsia="Cambria" w:hAnsi="Cambria" w:cs="Cambria"/>
          <w:color w:val="000000" w:themeColor="text1"/>
          <w:highlight w:val="yellow"/>
        </w:rPr>
        <w:t>or insert your hospital here</w:t>
      </w:r>
      <w:r w:rsidRPr="447286C5">
        <w:rPr>
          <w:rFonts w:ascii="Cambria" w:eastAsia="Cambria" w:hAnsi="Cambria" w:cs="Cambria"/>
          <w:color w:val="000000" w:themeColor="text1"/>
        </w:rPr>
        <w:t xml:space="preserve">] considering converting to an REH </w:t>
      </w:r>
      <w:r w:rsidR="00A55C89">
        <w:rPr>
          <w:rFonts w:ascii="Cambria" w:eastAsia="Cambria" w:hAnsi="Cambria" w:cs="Cambria"/>
          <w:color w:val="000000" w:themeColor="text1"/>
        </w:rPr>
        <w:t xml:space="preserve">currently </w:t>
      </w:r>
      <w:r w:rsidRPr="447286C5">
        <w:rPr>
          <w:rFonts w:ascii="Cambria" w:eastAsia="Cambria" w:hAnsi="Cambria" w:cs="Cambria"/>
          <w:color w:val="000000" w:themeColor="text1"/>
        </w:rPr>
        <w:t xml:space="preserve">operate </w:t>
      </w:r>
      <w:bookmarkStart w:id="2" w:name="_Int_TLiEOg15"/>
      <w:r w:rsidRPr="447286C5">
        <w:rPr>
          <w:rFonts w:ascii="Cambria" w:eastAsia="Cambria" w:hAnsi="Cambria" w:cs="Cambria"/>
          <w:color w:val="000000" w:themeColor="text1"/>
        </w:rPr>
        <w:t>provider-based</w:t>
      </w:r>
      <w:bookmarkEnd w:id="2"/>
      <w:r w:rsidRPr="447286C5">
        <w:rPr>
          <w:rFonts w:ascii="Cambria" w:eastAsia="Cambria" w:hAnsi="Cambria" w:cs="Cambria"/>
          <w:color w:val="000000" w:themeColor="text1"/>
        </w:rPr>
        <w:t xml:space="preserve"> RHCs. CMS must allow REHs to </w:t>
      </w:r>
      <w:bookmarkStart w:id="3" w:name="_Int_XiXXDVGd"/>
      <w:r w:rsidR="004D0531">
        <w:rPr>
          <w:rFonts w:ascii="Cambria" w:eastAsia="Cambria" w:hAnsi="Cambria" w:cs="Cambria"/>
          <w:color w:val="000000" w:themeColor="text1"/>
        </w:rPr>
        <w:t xml:space="preserve">maintain operation of </w:t>
      </w:r>
      <w:r w:rsidR="007010B4">
        <w:rPr>
          <w:rFonts w:ascii="Cambria" w:eastAsia="Cambria" w:hAnsi="Cambria" w:cs="Cambria"/>
          <w:color w:val="000000" w:themeColor="text1"/>
        </w:rPr>
        <w:t>existing</w:t>
      </w:r>
      <w:r w:rsidR="004D0531" w:rsidRPr="447286C5">
        <w:rPr>
          <w:rFonts w:ascii="Cambria" w:eastAsia="Cambria" w:hAnsi="Cambria" w:cs="Cambria"/>
          <w:color w:val="000000" w:themeColor="text1"/>
        </w:rPr>
        <w:t xml:space="preserve"> </w:t>
      </w:r>
      <w:r w:rsidRPr="447286C5">
        <w:rPr>
          <w:rFonts w:ascii="Cambria" w:eastAsia="Cambria" w:hAnsi="Cambria" w:cs="Cambria"/>
          <w:color w:val="000000" w:themeColor="text1"/>
        </w:rPr>
        <w:t>provider-based</w:t>
      </w:r>
      <w:bookmarkEnd w:id="3"/>
      <w:r w:rsidRPr="447286C5">
        <w:rPr>
          <w:rFonts w:ascii="Cambria" w:eastAsia="Cambria" w:hAnsi="Cambria" w:cs="Cambria"/>
          <w:color w:val="000000" w:themeColor="text1"/>
        </w:rPr>
        <w:t xml:space="preserve"> RHCs </w:t>
      </w:r>
      <w:r w:rsidR="007010B4">
        <w:rPr>
          <w:rFonts w:ascii="Cambria" w:eastAsia="Cambria" w:hAnsi="Cambria" w:cs="Cambria"/>
          <w:color w:val="000000" w:themeColor="text1"/>
        </w:rPr>
        <w:t xml:space="preserve">at grandfathered </w:t>
      </w:r>
      <w:r w:rsidR="00745E02">
        <w:rPr>
          <w:rFonts w:ascii="Cambria" w:eastAsia="Cambria" w:hAnsi="Cambria" w:cs="Cambria"/>
          <w:color w:val="000000" w:themeColor="text1"/>
        </w:rPr>
        <w:t xml:space="preserve">by </w:t>
      </w:r>
      <w:r w:rsidR="00F863EE" w:rsidRPr="00F863EE">
        <w:rPr>
          <w:rFonts w:ascii="Cambria" w:eastAsia="Cambria" w:hAnsi="Cambria" w:cs="Cambria"/>
          <w:color w:val="000000" w:themeColor="text1"/>
        </w:rPr>
        <w:t>April 1, 2021, that meet the qualifications in section</w:t>
      </w:r>
      <w:r w:rsidR="004D3AF6">
        <w:rPr>
          <w:rFonts w:ascii="Cambria" w:eastAsia="Cambria" w:hAnsi="Cambria" w:cs="Cambria"/>
          <w:color w:val="000000" w:themeColor="text1"/>
        </w:rPr>
        <w:t xml:space="preserve"> </w:t>
      </w:r>
      <w:r w:rsidR="00F863EE" w:rsidRPr="00F863EE">
        <w:rPr>
          <w:rFonts w:ascii="Cambria" w:eastAsia="Cambria" w:hAnsi="Cambria" w:cs="Cambria"/>
          <w:color w:val="000000" w:themeColor="text1"/>
        </w:rPr>
        <w:t>1833(f)(3)(B) of the</w:t>
      </w:r>
      <w:r w:rsidR="00A942F8">
        <w:rPr>
          <w:rFonts w:ascii="Cambria" w:eastAsia="Cambria" w:hAnsi="Cambria" w:cs="Cambria"/>
          <w:color w:val="000000" w:themeColor="text1"/>
        </w:rPr>
        <w:t xml:space="preserve"> Social Security</w:t>
      </w:r>
      <w:r w:rsidR="00F863EE" w:rsidRPr="00F863EE">
        <w:rPr>
          <w:rFonts w:ascii="Cambria" w:eastAsia="Cambria" w:hAnsi="Cambria" w:cs="Cambria"/>
          <w:color w:val="000000" w:themeColor="text1"/>
        </w:rPr>
        <w:t xml:space="preserve"> Act, </w:t>
      </w:r>
      <w:r w:rsidR="004D3AF6">
        <w:rPr>
          <w:rFonts w:ascii="Cambria" w:eastAsia="Cambria" w:hAnsi="Cambria" w:cs="Cambria"/>
          <w:color w:val="000000" w:themeColor="text1"/>
        </w:rPr>
        <w:t>at</w:t>
      </w:r>
      <w:r w:rsidR="00E30E24">
        <w:rPr>
          <w:rFonts w:ascii="Cambria" w:eastAsia="Cambria" w:hAnsi="Cambria" w:cs="Cambria"/>
          <w:color w:val="000000" w:themeColor="text1"/>
        </w:rPr>
        <w:t xml:space="preserve"> the</w:t>
      </w:r>
      <w:r w:rsidR="00F863EE" w:rsidRPr="00F863EE">
        <w:rPr>
          <w:rFonts w:ascii="Cambria" w:eastAsia="Cambria" w:hAnsi="Cambria" w:cs="Cambria"/>
          <w:color w:val="000000" w:themeColor="text1"/>
        </w:rPr>
        <w:t xml:space="preserve"> special payment rules that establish a payment limit based on the</w:t>
      </w:r>
      <w:r w:rsidR="00E30E24">
        <w:rPr>
          <w:rFonts w:ascii="Cambria" w:eastAsia="Cambria" w:hAnsi="Cambria" w:cs="Cambria"/>
          <w:color w:val="000000" w:themeColor="text1"/>
        </w:rPr>
        <w:t xml:space="preserve"> </w:t>
      </w:r>
      <w:r w:rsidR="00F863EE" w:rsidRPr="00F863EE">
        <w:rPr>
          <w:rFonts w:ascii="Cambria" w:eastAsia="Cambria" w:hAnsi="Cambria" w:cs="Cambria"/>
          <w:color w:val="000000" w:themeColor="text1"/>
        </w:rPr>
        <w:t>specified provider-based RHC’s per visit payment amount (or AIR) instead of the national statutory payment</w:t>
      </w:r>
      <w:r w:rsidR="0045107C">
        <w:rPr>
          <w:rFonts w:ascii="Cambria" w:eastAsia="Cambria" w:hAnsi="Cambria" w:cs="Cambria"/>
          <w:color w:val="000000" w:themeColor="text1"/>
        </w:rPr>
        <w:t xml:space="preserve"> </w:t>
      </w:r>
      <w:r w:rsidR="00F863EE" w:rsidRPr="00F863EE">
        <w:rPr>
          <w:rFonts w:ascii="Cambria" w:eastAsia="Cambria" w:hAnsi="Cambria" w:cs="Cambria"/>
          <w:color w:val="000000" w:themeColor="text1"/>
        </w:rPr>
        <w:t>limit</w:t>
      </w:r>
      <w:r w:rsidR="00B8255F">
        <w:rPr>
          <w:rStyle w:val="FootnoteReference"/>
          <w:rFonts w:ascii="Cambria" w:eastAsia="Cambria" w:hAnsi="Cambria" w:cs="Cambria"/>
          <w:color w:val="000000" w:themeColor="text1"/>
        </w:rPr>
        <w:footnoteReference w:id="2"/>
      </w:r>
      <w:r w:rsidR="00F863EE" w:rsidRPr="00F863EE">
        <w:rPr>
          <w:rFonts w:ascii="Cambria" w:eastAsia="Cambria" w:hAnsi="Cambria" w:cs="Cambria"/>
          <w:color w:val="000000" w:themeColor="text1"/>
        </w:rPr>
        <w:t xml:space="preserve"> </w:t>
      </w:r>
      <w:r w:rsidRPr="447286C5">
        <w:rPr>
          <w:rFonts w:ascii="Cambria" w:eastAsia="Cambria" w:hAnsi="Cambria" w:cs="Cambria"/>
          <w:color w:val="000000" w:themeColor="text1"/>
        </w:rPr>
        <w:t>and this must be explicitly stated in the CoPs</w:t>
      </w:r>
      <w:r w:rsidR="00E30E24">
        <w:rPr>
          <w:rFonts w:ascii="Cambria" w:eastAsia="Cambria" w:hAnsi="Cambria" w:cs="Cambria"/>
          <w:color w:val="000000" w:themeColor="text1"/>
        </w:rPr>
        <w:t>.</w:t>
      </w:r>
      <w:r w:rsidRPr="447286C5">
        <w:rPr>
          <w:rStyle w:val="FootnoteReference"/>
          <w:rFonts w:ascii="Cambria" w:eastAsia="Cambria" w:hAnsi="Cambria" w:cs="Cambria"/>
          <w:color w:val="000000" w:themeColor="text1"/>
        </w:rPr>
        <w:footnoteReference w:id="3"/>
      </w:r>
      <w:r w:rsidRPr="447286C5">
        <w:rPr>
          <w:rFonts w:ascii="Cambria" w:eastAsia="Cambria" w:hAnsi="Cambria" w:cs="Cambria"/>
          <w:color w:val="000000" w:themeColor="text1"/>
        </w:rPr>
        <w:t xml:space="preserve"> [</w:t>
      </w:r>
      <w:r w:rsidRPr="447286C5">
        <w:rPr>
          <w:rFonts w:ascii="Cambria" w:eastAsia="Cambria" w:hAnsi="Cambria" w:cs="Cambria"/>
          <w:color w:val="000000" w:themeColor="text1"/>
          <w:highlight w:val="yellow"/>
        </w:rPr>
        <w:t xml:space="preserve">Explain how REHs retaining </w:t>
      </w:r>
      <w:bookmarkStart w:id="4" w:name="_Int_RRBwTFfe"/>
      <w:r w:rsidRPr="447286C5">
        <w:rPr>
          <w:rFonts w:ascii="Cambria" w:eastAsia="Cambria" w:hAnsi="Cambria" w:cs="Cambria"/>
          <w:color w:val="000000" w:themeColor="text1"/>
          <w:highlight w:val="yellow"/>
        </w:rPr>
        <w:t>provider-based</w:t>
      </w:r>
      <w:bookmarkEnd w:id="4"/>
      <w:r w:rsidRPr="447286C5">
        <w:rPr>
          <w:rFonts w:ascii="Cambria" w:eastAsia="Cambria" w:hAnsi="Cambria" w:cs="Cambria"/>
          <w:color w:val="000000" w:themeColor="text1"/>
          <w:highlight w:val="yellow"/>
        </w:rPr>
        <w:t xml:space="preserve"> RHCs are crucial to your hospital or community considering conversion. Emphasize the important role RHCs play in the rural health safety net.</w:t>
      </w:r>
      <w:r w:rsidRPr="447286C5">
        <w:rPr>
          <w:rFonts w:ascii="Cambria" w:eastAsia="Cambria" w:hAnsi="Cambria" w:cs="Cambria"/>
          <w:color w:val="000000" w:themeColor="text1"/>
        </w:rPr>
        <w:t>]</w:t>
      </w:r>
    </w:p>
    <w:p w14:paraId="438886A5" w14:textId="03F002A1" w:rsidR="1FC32732" w:rsidRDefault="1FC32732" w:rsidP="1FC32732">
      <w:pPr>
        <w:spacing w:after="0" w:line="240" w:lineRule="auto"/>
        <w:jc w:val="both"/>
        <w:rPr>
          <w:rFonts w:ascii="Cambria" w:eastAsia="Cambria" w:hAnsi="Cambria" w:cs="Cambria"/>
          <w:color w:val="000000" w:themeColor="text1"/>
        </w:rPr>
      </w:pPr>
    </w:p>
    <w:p w14:paraId="351054CB" w14:textId="556B3C6E" w:rsidR="1FC32732" w:rsidRDefault="1FC32732" w:rsidP="1FC32732">
      <w:pPr>
        <w:spacing w:after="0" w:line="240" w:lineRule="auto"/>
        <w:jc w:val="both"/>
        <w:rPr>
          <w:rFonts w:ascii="Cambria" w:eastAsia="Cambria" w:hAnsi="Cambria" w:cs="Cambria"/>
        </w:rPr>
      </w:pPr>
      <w:r w:rsidRPr="447286C5">
        <w:rPr>
          <w:rFonts w:ascii="Cambria" w:eastAsia="Cambria" w:hAnsi="Cambria" w:cs="Cambria"/>
          <w:color w:val="000000" w:themeColor="text1"/>
        </w:rPr>
        <w:t xml:space="preserve">CMS should further consider </w:t>
      </w:r>
      <w:r w:rsidR="00DB7FF6">
        <w:rPr>
          <w:rFonts w:ascii="Cambria" w:eastAsia="Cambria" w:hAnsi="Cambria" w:cs="Cambria"/>
          <w:color w:val="000000" w:themeColor="text1"/>
        </w:rPr>
        <w:t xml:space="preserve">allowance of </w:t>
      </w:r>
      <w:r w:rsidRPr="447286C5">
        <w:rPr>
          <w:rFonts w:ascii="Cambria" w:eastAsia="Cambria" w:hAnsi="Cambria" w:cs="Cambria"/>
          <w:color w:val="000000" w:themeColor="text1"/>
        </w:rPr>
        <w:t>a distinct part [</w:t>
      </w:r>
      <w:r w:rsidRPr="447286C5">
        <w:rPr>
          <w:rFonts w:ascii="Cambria" w:eastAsia="Cambria" w:hAnsi="Cambria" w:cs="Cambria"/>
          <w:color w:val="000000" w:themeColor="text1"/>
          <w:highlight w:val="yellow"/>
        </w:rPr>
        <w:t xml:space="preserve">inpatient psychiatric and/or </w:t>
      </w:r>
      <w:r w:rsidR="00117F28">
        <w:rPr>
          <w:rFonts w:ascii="Cambria" w:eastAsia="Cambria" w:hAnsi="Cambria" w:cs="Cambria"/>
          <w:color w:val="000000" w:themeColor="text1"/>
          <w:highlight w:val="yellow"/>
        </w:rPr>
        <w:t xml:space="preserve">inpatient </w:t>
      </w:r>
      <w:r w:rsidRPr="447286C5">
        <w:rPr>
          <w:rFonts w:ascii="Cambria" w:eastAsia="Cambria" w:hAnsi="Cambria" w:cs="Cambria"/>
          <w:color w:val="000000" w:themeColor="text1"/>
          <w:highlight w:val="yellow"/>
        </w:rPr>
        <w:t>rehabilitation facility</w:t>
      </w:r>
      <w:r w:rsidRPr="447286C5">
        <w:rPr>
          <w:rFonts w:ascii="Cambria" w:eastAsia="Cambria" w:hAnsi="Cambria" w:cs="Cambria"/>
          <w:color w:val="000000" w:themeColor="text1"/>
        </w:rPr>
        <w:t>], like the distinct part skilled nursing facility. The [</w:t>
      </w:r>
      <w:r w:rsidRPr="447286C5">
        <w:rPr>
          <w:rFonts w:ascii="Cambria" w:eastAsia="Cambria" w:hAnsi="Cambria" w:cs="Cambria"/>
          <w:color w:val="000000" w:themeColor="text1"/>
          <w:highlight w:val="yellow"/>
        </w:rPr>
        <w:t>inpatient psychiatric and/or rehabilitation unit</w:t>
      </w:r>
      <w:r w:rsidRPr="447286C5">
        <w:rPr>
          <w:rFonts w:ascii="Cambria" w:eastAsia="Cambria" w:hAnsi="Cambria" w:cs="Cambria"/>
          <w:color w:val="000000" w:themeColor="text1"/>
        </w:rPr>
        <w:t>] would be physically distinct and fiscally separate for cost-reporting purposes and thus would not threaten the outpatient nature of the REH or the 24-hour patient stay average. The [</w:t>
      </w:r>
      <w:r w:rsidRPr="447286C5">
        <w:rPr>
          <w:rFonts w:ascii="Cambria" w:eastAsia="Cambria" w:hAnsi="Cambria" w:cs="Cambria"/>
          <w:color w:val="000000" w:themeColor="text1"/>
          <w:highlight w:val="yellow"/>
        </w:rPr>
        <w:t>psychiatric and/or rehabilitation unit</w:t>
      </w:r>
      <w:r w:rsidRPr="447286C5">
        <w:rPr>
          <w:rFonts w:ascii="Cambria" w:eastAsia="Cambria" w:hAnsi="Cambria" w:cs="Cambria"/>
          <w:color w:val="000000" w:themeColor="text1"/>
        </w:rPr>
        <w:t>] could make use of vacated space from the CAH or small rural hospital’s conversion out of inpatient care into an REH. [</w:t>
      </w:r>
      <w:r w:rsidRPr="447286C5">
        <w:rPr>
          <w:rFonts w:ascii="Cambria" w:eastAsia="Cambria" w:hAnsi="Cambria" w:cs="Cambria"/>
          <w:color w:val="000000" w:themeColor="text1"/>
          <w:highlight w:val="yellow"/>
        </w:rPr>
        <w:t>Insert how this/these addition(s) to REH services would be valuable to your community.</w:t>
      </w:r>
      <w:r w:rsidRPr="447286C5">
        <w:rPr>
          <w:rFonts w:ascii="Cambria" w:eastAsia="Cambria" w:hAnsi="Cambria" w:cs="Cambria"/>
          <w:color w:val="000000" w:themeColor="text1"/>
        </w:rPr>
        <w:t>]</w:t>
      </w:r>
    </w:p>
    <w:p w14:paraId="14820B36" w14:textId="1A415BDD" w:rsidR="1FC32732" w:rsidRDefault="1FC32732" w:rsidP="1FC32732">
      <w:pPr>
        <w:spacing w:after="0" w:line="240" w:lineRule="auto"/>
        <w:jc w:val="both"/>
        <w:rPr>
          <w:rFonts w:ascii="Cambria" w:eastAsia="Cambria" w:hAnsi="Cambria" w:cs="Cambria"/>
          <w:color w:val="000000" w:themeColor="text1"/>
        </w:rPr>
      </w:pPr>
    </w:p>
    <w:p w14:paraId="5B209D0A" w14:textId="43094AAD" w:rsidR="1FC32732" w:rsidRDefault="1FC32732" w:rsidP="1FC32732">
      <w:pPr>
        <w:spacing w:after="0" w:line="240" w:lineRule="auto"/>
        <w:jc w:val="both"/>
        <w:rPr>
          <w:rFonts w:ascii="Cambria" w:eastAsia="Cambria" w:hAnsi="Cambria" w:cs="Cambria"/>
        </w:rPr>
      </w:pPr>
      <w:r w:rsidRPr="00117F28">
        <w:rPr>
          <w:rFonts w:ascii="Cambria" w:eastAsia="Cambria" w:hAnsi="Cambria" w:cs="Cambria"/>
          <w:color w:val="000000" w:themeColor="text1"/>
        </w:rPr>
        <w:t>We also urge CMS to reconsider its supervision requirements for certified registered nurse anesthetists (CRNA).</w:t>
      </w:r>
      <w:r w:rsidRPr="1FC32732">
        <w:rPr>
          <w:rFonts w:ascii="Cambria" w:eastAsia="Cambria" w:hAnsi="Cambria" w:cs="Cambria"/>
          <w:color w:val="000000" w:themeColor="text1"/>
        </w:rPr>
        <w:t xml:space="preserve"> CRNAs often serve as the sole anesthesia provider in rural hospitals. They are more likely to work in areas with lower median incomes and higher uninsured or Medicaid beneficiary populations, both of which often overlap with rural areas. To continue CMS’ commitment to flexibility for REHs, it must remove the requirement for an operating practitioner to supervise a </w:t>
      </w:r>
      <w:r w:rsidRPr="1FC32732">
        <w:rPr>
          <w:rFonts w:ascii="Cambria" w:eastAsia="Cambria" w:hAnsi="Cambria" w:cs="Cambria"/>
          <w:color w:val="000000" w:themeColor="text1"/>
        </w:rPr>
        <w:lastRenderedPageBreak/>
        <w:t>CRNA administering anesthesia at the proposed § 485.524(d)(3)(ii). [</w:t>
      </w:r>
      <w:r w:rsidRPr="1FC32732">
        <w:rPr>
          <w:rFonts w:ascii="Cambria" w:eastAsia="Cambria" w:hAnsi="Cambria" w:cs="Cambria"/>
          <w:color w:val="000000" w:themeColor="text1"/>
          <w:highlight w:val="yellow"/>
        </w:rPr>
        <w:t>Elaborate on the importance of CRNAs and how this change would be beneficial in your community or hospital.</w:t>
      </w:r>
      <w:r w:rsidRPr="1FC32732">
        <w:rPr>
          <w:rFonts w:ascii="Cambria" w:eastAsia="Cambria" w:hAnsi="Cambria" w:cs="Cambria"/>
          <w:color w:val="000000" w:themeColor="text1"/>
        </w:rPr>
        <w:t>]</w:t>
      </w:r>
    </w:p>
    <w:p w14:paraId="46076A69" w14:textId="099FA7EF" w:rsidR="1FC32732" w:rsidRDefault="1FC32732" w:rsidP="1FC32732">
      <w:pPr>
        <w:spacing w:after="0" w:line="240" w:lineRule="auto"/>
        <w:jc w:val="both"/>
        <w:rPr>
          <w:rFonts w:ascii="Cambria" w:eastAsia="Cambria" w:hAnsi="Cambria" w:cs="Cambria"/>
          <w:color w:val="000000" w:themeColor="text1"/>
        </w:rPr>
      </w:pPr>
    </w:p>
    <w:p w14:paraId="556756DD" w14:textId="7D7FB7D5" w:rsidR="1FC32732" w:rsidRDefault="1FC32732" w:rsidP="1FC32732">
      <w:pPr>
        <w:spacing w:after="0" w:line="240" w:lineRule="auto"/>
        <w:jc w:val="both"/>
        <w:rPr>
          <w:rFonts w:ascii="Cambria" w:eastAsia="Cambria" w:hAnsi="Cambria" w:cs="Cambria"/>
        </w:rPr>
      </w:pPr>
      <w:r w:rsidRPr="1FC32732">
        <w:rPr>
          <w:rFonts w:ascii="Cambria" w:eastAsia="Cambria" w:hAnsi="Cambria" w:cs="Cambria"/>
          <w:b/>
          <w:bCs/>
          <w:color w:val="000000" w:themeColor="text1"/>
          <w:u w:val="single"/>
        </w:rPr>
        <w:t>II.A.19. Agreements</w:t>
      </w:r>
    </w:p>
    <w:p w14:paraId="4388711D" w14:textId="12E066A6" w:rsidR="1FC32732" w:rsidRDefault="1FC32732" w:rsidP="1FC32732">
      <w:pPr>
        <w:spacing w:after="0" w:line="240" w:lineRule="auto"/>
        <w:jc w:val="both"/>
        <w:rPr>
          <w:rFonts w:ascii="Cambria" w:eastAsia="Cambria" w:hAnsi="Cambria" w:cs="Cambria"/>
          <w:color w:val="000000" w:themeColor="text1"/>
        </w:rPr>
      </w:pPr>
      <w:r w:rsidRPr="1FC32732">
        <w:rPr>
          <w:rFonts w:ascii="Cambria" w:eastAsia="Cambria" w:hAnsi="Cambria" w:cs="Cambria"/>
          <w:color w:val="000000" w:themeColor="text1"/>
        </w:rPr>
        <w:t>[</w:t>
      </w:r>
      <w:r w:rsidRPr="1FC32732">
        <w:rPr>
          <w:rFonts w:ascii="Cambria" w:eastAsia="Cambria" w:hAnsi="Cambria" w:cs="Cambria"/>
          <w:color w:val="000000" w:themeColor="text1"/>
          <w:highlight w:val="yellow"/>
        </w:rPr>
        <w:t>YOUR ORGANIZATION</w:t>
      </w:r>
      <w:r w:rsidRPr="1FC32732">
        <w:rPr>
          <w:rFonts w:ascii="Cambria" w:eastAsia="Cambria" w:hAnsi="Cambria" w:cs="Cambria"/>
          <w:color w:val="000000" w:themeColor="text1"/>
        </w:rPr>
        <w:t xml:space="preserve">] proposes that CMS acknowledge the difficulty of </w:t>
      </w:r>
      <w:r w:rsidR="00D34269">
        <w:rPr>
          <w:rFonts w:ascii="Cambria" w:eastAsia="Cambria" w:hAnsi="Cambria" w:cs="Cambria"/>
          <w:color w:val="000000" w:themeColor="text1"/>
        </w:rPr>
        <w:t xml:space="preserve">finding placements </w:t>
      </w:r>
      <w:r w:rsidR="00267929">
        <w:rPr>
          <w:rFonts w:ascii="Cambria" w:eastAsia="Cambria" w:hAnsi="Cambria" w:cs="Cambria"/>
          <w:color w:val="000000" w:themeColor="text1"/>
        </w:rPr>
        <w:t>for</w:t>
      </w:r>
      <w:r w:rsidRPr="1FC32732">
        <w:rPr>
          <w:rFonts w:ascii="Cambria" w:eastAsia="Cambria" w:hAnsi="Cambria" w:cs="Cambria"/>
          <w:color w:val="000000" w:themeColor="text1"/>
        </w:rPr>
        <w:t xml:space="preserve"> mental and behavioral health patients</w:t>
      </w:r>
      <w:r w:rsidR="00D37C1D">
        <w:rPr>
          <w:rFonts w:ascii="Cambria" w:eastAsia="Cambria" w:hAnsi="Cambria" w:cs="Cambria"/>
          <w:color w:val="000000" w:themeColor="text1"/>
        </w:rPr>
        <w:t xml:space="preserve"> requiring a transfer</w:t>
      </w:r>
      <w:r w:rsidRPr="1FC32732">
        <w:rPr>
          <w:rFonts w:ascii="Cambria" w:eastAsia="Cambria" w:hAnsi="Cambria" w:cs="Cambria"/>
          <w:color w:val="000000" w:themeColor="text1"/>
        </w:rPr>
        <w:t xml:space="preserve">, and work within its authority to address this issue. An emergency department may be the only access point for rural </w:t>
      </w:r>
      <w:r w:rsidR="00166DD3">
        <w:rPr>
          <w:rFonts w:ascii="Cambria" w:eastAsia="Cambria" w:hAnsi="Cambria" w:cs="Cambria"/>
          <w:color w:val="000000" w:themeColor="text1"/>
        </w:rPr>
        <w:t>patients</w:t>
      </w:r>
      <w:r w:rsidRPr="1FC32732">
        <w:rPr>
          <w:rFonts w:ascii="Cambria" w:eastAsia="Cambria" w:hAnsi="Cambria" w:cs="Cambria"/>
          <w:color w:val="000000" w:themeColor="text1"/>
        </w:rPr>
        <w:t xml:space="preserve"> experiencing an acute mental health crisis. </w:t>
      </w:r>
      <w:r w:rsidR="0047677D">
        <w:rPr>
          <w:rFonts w:ascii="Cambria" w:eastAsia="Cambria" w:hAnsi="Cambria" w:cs="Cambria"/>
          <w:color w:val="000000" w:themeColor="text1"/>
        </w:rPr>
        <w:t>W</w:t>
      </w:r>
      <w:r w:rsidR="008E6B0C">
        <w:rPr>
          <w:rFonts w:ascii="Cambria" w:eastAsia="Cambria" w:hAnsi="Cambria" w:cs="Cambria"/>
          <w:color w:val="000000" w:themeColor="text1"/>
        </w:rPr>
        <w:t>e</w:t>
      </w:r>
      <w:r w:rsidR="0047677D">
        <w:rPr>
          <w:rFonts w:ascii="Cambria" w:eastAsia="Cambria" w:hAnsi="Cambria" w:cs="Cambria"/>
          <w:color w:val="000000" w:themeColor="text1"/>
        </w:rPr>
        <w:t xml:space="preserve"> are concerned</w:t>
      </w:r>
      <w:r w:rsidRPr="1FC32732">
        <w:rPr>
          <w:rFonts w:ascii="Cambria" w:eastAsia="Cambria" w:hAnsi="Cambria" w:cs="Cambria"/>
          <w:color w:val="000000" w:themeColor="text1"/>
        </w:rPr>
        <w:t xml:space="preserve"> that when an REH is faced with a patient requiring mental health care outside of an REH’s scope, there likely will not be available inpatient psychiatric beds for transfer or the transfer process will exceed 24 hours.</w:t>
      </w:r>
      <w:r w:rsidR="0047677D">
        <w:rPr>
          <w:rFonts w:ascii="Cambria" w:eastAsia="Cambria" w:hAnsi="Cambria" w:cs="Cambria"/>
          <w:color w:val="000000" w:themeColor="text1"/>
        </w:rPr>
        <w:t xml:space="preserve"> </w:t>
      </w:r>
    </w:p>
    <w:p w14:paraId="0CA76519" w14:textId="77777777" w:rsidR="0021669B" w:rsidRDefault="0021669B" w:rsidP="1FC32732">
      <w:pPr>
        <w:spacing w:after="0" w:line="240" w:lineRule="auto"/>
        <w:jc w:val="both"/>
        <w:rPr>
          <w:rFonts w:ascii="Cambria" w:eastAsia="Cambria" w:hAnsi="Cambria" w:cs="Cambria"/>
          <w:color w:val="000000" w:themeColor="text1"/>
        </w:rPr>
      </w:pPr>
    </w:p>
    <w:p w14:paraId="44768F0C" w14:textId="1A05F35A" w:rsidR="0021669B" w:rsidRDefault="0021669B" w:rsidP="1FC32732">
      <w:pPr>
        <w:spacing w:after="0" w:line="240" w:lineRule="auto"/>
        <w:jc w:val="both"/>
        <w:rPr>
          <w:rFonts w:ascii="Cambria" w:eastAsia="Cambria" w:hAnsi="Cambria" w:cs="Cambria"/>
          <w:color w:val="000000" w:themeColor="text1"/>
        </w:rPr>
      </w:pPr>
      <w:r>
        <w:rPr>
          <w:rFonts w:ascii="Cambria" w:eastAsia="Cambria" w:hAnsi="Cambria" w:cs="Cambria"/>
          <w:color w:val="000000" w:themeColor="text1"/>
        </w:rPr>
        <w:t>[</w:t>
      </w:r>
      <w:r w:rsidRPr="0021669B">
        <w:rPr>
          <w:rFonts w:ascii="Cambria" w:eastAsia="Cambria" w:hAnsi="Cambria" w:cs="Cambria"/>
          <w:color w:val="000000" w:themeColor="text1"/>
          <w:highlight w:val="yellow"/>
        </w:rPr>
        <w:t>Add information about the lack of mental health care in your area, including psychiatric beds.</w:t>
      </w:r>
      <w:r>
        <w:rPr>
          <w:rFonts w:ascii="Cambria" w:eastAsia="Cambria" w:hAnsi="Cambria" w:cs="Cambria"/>
          <w:color w:val="000000" w:themeColor="text1"/>
        </w:rPr>
        <w:t>]</w:t>
      </w:r>
    </w:p>
    <w:p w14:paraId="7ACEB65B" w14:textId="77777777" w:rsidR="0021669B" w:rsidRDefault="0021669B" w:rsidP="1FC32732">
      <w:pPr>
        <w:spacing w:after="0" w:line="240" w:lineRule="auto"/>
        <w:jc w:val="both"/>
        <w:rPr>
          <w:rFonts w:ascii="Cambria" w:eastAsia="Cambria" w:hAnsi="Cambria" w:cs="Cambria"/>
          <w:color w:val="000000" w:themeColor="text1"/>
        </w:rPr>
      </w:pPr>
    </w:p>
    <w:p w14:paraId="37EF1820" w14:textId="28899D2D" w:rsidR="0021669B" w:rsidRDefault="0021669B" w:rsidP="1FC32732">
      <w:pPr>
        <w:spacing w:after="0" w:line="240" w:lineRule="auto"/>
        <w:jc w:val="both"/>
        <w:rPr>
          <w:rFonts w:ascii="Cambria" w:eastAsia="Cambria" w:hAnsi="Cambria" w:cs="Cambria"/>
        </w:rPr>
      </w:pPr>
      <w:r>
        <w:rPr>
          <w:rFonts w:ascii="Cambria" w:eastAsia="Cambria" w:hAnsi="Cambria" w:cs="Cambria"/>
          <w:color w:val="000000" w:themeColor="text1"/>
        </w:rPr>
        <w:t xml:space="preserve">CMS must explore </w:t>
      </w:r>
      <w:r w:rsidR="00CD6AD0">
        <w:rPr>
          <w:rFonts w:ascii="Cambria" w:eastAsia="Cambria" w:hAnsi="Cambria" w:cs="Cambria"/>
          <w:color w:val="000000" w:themeColor="text1"/>
        </w:rPr>
        <w:t>pathways t</w:t>
      </w:r>
      <w:r w:rsidR="00971512">
        <w:rPr>
          <w:rFonts w:ascii="Cambria" w:eastAsia="Cambria" w:hAnsi="Cambria" w:cs="Cambria"/>
          <w:color w:val="000000" w:themeColor="text1"/>
        </w:rPr>
        <w:t>o solve this issue and ensure psychiatric patients are able to receive the care that they need.</w:t>
      </w:r>
    </w:p>
    <w:p w14:paraId="36A0B127" w14:textId="6FCA0236" w:rsidR="1FC32732" w:rsidRDefault="1FC32732" w:rsidP="1FC32732">
      <w:pPr>
        <w:spacing w:after="0" w:line="240" w:lineRule="auto"/>
        <w:jc w:val="both"/>
        <w:rPr>
          <w:rFonts w:ascii="Cambria" w:eastAsia="Cambria" w:hAnsi="Cambria" w:cs="Cambria"/>
          <w:color w:val="000000" w:themeColor="text1"/>
        </w:rPr>
      </w:pPr>
    </w:p>
    <w:p w14:paraId="0FAA78BD" w14:textId="476FA28F" w:rsidR="481AA4AE" w:rsidRDefault="54260B89" w:rsidP="54260B89">
      <w:pPr>
        <w:spacing w:after="0" w:line="240" w:lineRule="auto"/>
        <w:jc w:val="both"/>
        <w:rPr>
          <w:rFonts w:ascii="Cambria" w:eastAsia="Cambria" w:hAnsi="Cambria" w:cs="Cambria"/>
          <w:b/>
          <w:bCs/>
          <w:color w:val="000000" w:themeColor="text1"/>
          <w:u w:val="single"/>
        </w:rPr>
      </w:pPr>
      <w:r w:rsidRPr="54260B89">
        <w:rPr>
          <w:rFonts w:ascii="Cambria" w:eastAsia="Cambria" w:hAnsi="Cambria" w:cs="Cambria"/>
          <w:b/>
          <w:bCs/>
          <w:color w:val="000000" w:themeColor="text1"/>
          <w:u w:val="single"/>
        </w:rPr>
        <w:t>B.1.a: Adding the Definition of “Primary Roads”</w:t>
      </w:r>
    </w:p>
    <w:p w14:paraId="487A14CC" w14:textId="0CC95330" w:rsidR="003E60F3" w:rsidRDefault="54260B89" w:rsidP="1FC32732">
      <w:pPr>
        <w:spacing w:after="0" w:line="240" w:lineRule="auto"/>
        <w:jc w:val="both"/>
        <w:rPr>
          <w:rFonts w:ascii="Cambria" w:eastAsia="Cambria" w:hAnsi="Cambria" w:cs="Cambria"/>
          <w:color w:val="000000" w:themeColor="text1"/>
        </w:rPr>
      </w:pPr>
      <w:r w:rsidRPr="1FC32732">
        <w:rPr>
          <w:rFonts w:ascii="Cambria" w:eastAsia="Cambria" w:hAnsi="Cambria" w:cs="Cambria"/>
          <w:color w:val="000000" w:themeColor="text1"/>
        </w:rPr>
        <w:t>We thank CMS for clarifying the critical access hospital (CAH) distance requirements by adding the definition of “primary roads.” We support the definition of primary roads</w:t>
      </w:r>
      <w:r w:rsidR="00996127">
        <w:rPr>
          <w:rFonts w:ascii="Cambria" w:eastAsia="Cambria" w:hAnsi="Cambria" w:cs="Cambria"/>
          <w:color w:val="000000" w:themeColor="text1"/>
        </w:rPr>
        <w:t xml:space="preserve"> and believe it will provide </w:t>
      </w:r>
      <w:r w:rsidR="004F7311">
        <w:rPr>
          <w:rFonts w:ascii="Cambria" w:eastAsia="Cambria" w:hAnsi="Cambria" w:cs="Cambria"/>
          <w:color w:val="000000" w:themeColor="text1"/>
        </w:rPr>
        <w:t xml:space="preserve">essential confirmation of CMS policy in this area. </w:t>
      </w:r>
    </w:p>
    <w:p w14:paraId="06136F46" w14:textId="77777777" w:rsidR="006642CB" w:rsidRDefault="006642CB" w:rsidP="1FC32732">
      <w:pPr>
        <w:spacing w:after="0" w:line="240" w:lineRule="auto"/>
        <w:jc w:val="both"/>
        <w:rPr>
          <w:rFonts w:ascii="Cambria" w:eastAsia="Cambria" w:hAnsi="Cambria" w:cs="Cambria"/>
          <w:color w:val="000000" w:themeColor="text1"/>
        </w:rPr>
      </w:pPr>
    </w:p>
    <w:p w14:paraId="6DDE8A20" w14:textId="7D44F521" w:rsidR="54260B89" w:rsidRDefault="004F7311" w:rsidP="1FC32732">
      <w:pPr>
        <w:spacing w:after="0" w:line="240" w:lineRule="auto"/>
        <w:jc w:val="both"/>
        <w:rPr>
          <w:rFonts w:ascii="Cambria" w:eastAsia="Cambria" w:hAnsi="Cambria" w:cs="Cambria"/>
          <w:color w:val="000000" w:themeColor="text1"/>
        </w:rPr>
      </w:pPr>
      <w:r>
        <w:rPr>
          <w:rFonts w:ascii="Cambria" w:eastAsia="Cambria" w:hAnsi="Cambria" w:cs="Cambria"/>
          <w:color w:val="000000" w:themeColor="text1"/>
        </w:rPr>
        <w:t>H</w:t>
      </w:r>
      <w:r w:rsidR="54260B89" w:rsidRPr="1FC32732">
        <w:rPr>
          <w:rFonts w:ascii="Cambria" w:eastAsia="Cambria" w:hAnsi="Cambria" w:cs="Cambria"/>
          <w:color w:val="000000" w:themeColor="text1"/>
        </w:rPr>
        <w:t xml:space="preserve">owever, we advocate for </w:t>
      </w:r>
      <w:r>
        <w:rPr>
          <w:rFonts w:ascii="Cambria" w:eastAsia="Cambria" w:hAnsi="Cambria" w:cs="Cambria"/>
          <w:color w:val="000000" w:themeColor="text1"/>
        </w:rPr>
        <w:t xml:space="preserve">clarifying </w:t>
      </w:r>
      <w:r w:rsidR="54260B89" w:rsidRPr="1FC32732">
        <w:rPr>
          <w:rFonts w:ascii="Cambria" w:eastAsia="Cambria" w:hAnsi="Cambria" w:cs="Cambria"/>
          <w:color w:val="000000" w:themeColor="text1"/>
        </w:rPr>
        <w:t xml:space="preserve">the definition to exclude Federal numbered highways with one lane in each direction. One lane Federal highways are common in rural areas and, </w:t>
      </w:r>
      <w:r w:rsidR="1FC32732" w:rsidRPr="1FC32732">
        <w:rPr>
          <w:rFonts w:ascii="Cambria" w:eastAsia="Cambria" w:hAnsi="Cambria" w:cs="Cambria"/>
          <w:color w:val="000000" w:themeColor="text1"/>
        </w:rPr>
        <w:t xml:space="preserve">in many instances, are not comparable to two or three lane highways because of sporadic maintenance varying by state. In many instances, Federal one lane highways do not differ from state one lane highways, which are excluded from the proposed definition. </w:t>
      </w:r>
    </w:p>
    <w:p w14:paraId="55D31A78" w14:textId="146C77E3" w:rsidR="54260B89" w:rsidRDefault="54260B89" w:rsidP="1FC32732">
      <w:pPr>
        <w:spacing w:after="0" w:line="240" w:lineRule="auto"/>
        <w:jc w:val="both"/>
        <w:rPr>
          <w:rFonts w:ascii="Cambria" w:eastAsia="Cambria" w:hAnsi="Cambria" w:cs="Cambria"/>
          <w:color w:val="000000" w:themeColor="text1"/>
        </w:rPr>
      </w:pPr>
    </w:p>
    <w:p w14:paraId="726CE782" w14:textId="6460B00A" w:rsidR="54260B89" w:rsidRDefault="54260B89" w:rsidP="1FC32732">
      <w:pPr>
        <w:spacing w:after="0" w:line="240" w:lineRule="auto"/>
        <w:jc w:val="both"/>
        <w:rPr>
          <w:rFonts w:ascii="Cambria" w:eastAsia="Cambria" w:hAnsi="Cambria" w:cs="Cambria"/>
          <w:color w:val="000000" w:themeColor="text1"/>
        </w:rPr>
      </w:pPr>
      <w:r w:rsidRPr="1FC32732">
        <w:rPr>
          <w:rFonts w:ascii="Cambria" w:eastAsia="Cambria" w:hAnsi="Cambria" w:cs="Cambria"/>
          <w:color w:val="000000" w:themeColor="text1"/>
        </w:rPr>
        <w:t>[</w:t>
      </w:r>
      <w:r w:rsidRPr="1FC32732">
        <w:rPr>
          <w:rFonts w:ascii="Cambria" w:eastAsia="Cambria" w:hAnsi="Cambria" w:cs="Cambria"/>
          <w:color w:val="000000" w:themeColor="text1"/>
          <w:highlight w:val="yellow"/>
        </w:rPr>
        <w:t>Insert example of a one lane federal highway in your state that should not be considered a primary road and why</w:t>
      </w:r>
      <w:r w:rsidRPr="1FC32732">
        <w:rPr>
          <w:rFonts w:ascii="Cambria" w:eastAsia="Cambria" w:hAnsi="Cambria" w:cs="Cambria"/>
          <w:color w:val="000000" w:themeColor="text1"/>
        </w:rPr>
        <w:t xml:space="preserve">]. </w:t>
      </w:r>
    </w:p>
    <w:p w14:paraId="0EDFAB9C" w14:textId="6A83F441" w:rsidR="54260B89" w:rsidRDefault="54260B89" w:rsidP="54260B89">
      <w:pPr>
        <w:spacing w:after="0" w:line="240" w:lineRule="auto"/>
        <w:jc w:val="both"/>
        <w:rPr>
          <w:rFonts w:ascii="Cambria" w:eastAsia="Cambria" w:hAnsi="Cambria" w:cs="Cambria"/>
          <w:color w:val="000000" w:themeColor="text1"/>
        </w:rPr>
      </w:pPr>
    </w:p>
    <w:p w14:paraId="6D3FAC7B" w14:textId="1C3E2725" w:rsidR="54260B89" w:rsidRDefault="54260B89" w:rsidP="76EF7295">
      <w:pPr>
        <w:spacing w:after="0" w:line="240" w:lineRule="auto"/>
        <w:jc w:val="both"/>
        <w:rPr>
          <w:rFonts w:ascii="Cambria" w:eastAsia="Cambria" w:hAnsi="Cambria" w:cs="Cambria"/>
          <w:color w:val="000000" w:themeColor="text1"/>
        </w:rPr>
      </w:pPr>
      <w:r w:rsidRPr="76EF7295">
        <w:rPr>
          <w:rFonts w:ascii="Cambria" w:eastAsia="Cambria" w:hAnsi="Cambria" w:cs="Cambria"/>
          <w:color w:val="000000" w:themeColor="text1"/>
        </w:rPr>
        <w:t>We also urge CMS to clarify its proposals for CAH distance verification. In the preamble of this proposed rule, CMS notes that it will review CAH certification status by looking at the 50-mile radius around a CAH. We would like CMS to clarify whether the 50-mile radius is 50 road miles or “as the crow flies.” It is imperative that hospitals understand the methodology behind CMS’ review process. [</w:t>
      </w:r>
      <w:r w:rsidRPr="76EF7295">
        <w:rPr>
          <w:rFonts w:ascii="Cambria" w:eastAsia="Cambria" w:hAnsi="Cambria" w:cs="Cambria"/>
          <w:color w:val="000000" w:themeColor="text1"/>
          <w:highlight w:val="yellow"/>
        </w:rPr>
        <w:t>Insert example of how road miles vs. “as the crow flies” this would affect your hospital and explain which one would be beneficial.</w:t>
      </w:r>
      <w:r w:rsidRPr="76EF7295">
        <w:rPr>
          <w:rFonts w:ascii="Cambria" w:eastAsia="Cambria" w:hAnsi="Cambria" w:cs="Cambria"/>
          <w:color w:val="000000" w:themeColor="text1"/>
        </w:rPr>
        <w:t>]</w:t>
      </w:r>
    </w:p>
    <w:p w14:paraId="5C70BA9D" w14:textId="4DE3A504" w:rsidR="54260B89" w:rsidRDefault="54260B89" w:rsidP="54260B89">
      <w:pPr>
        <w:spacing w:after="0" w:line="240" w:lineRule="auto"/>
        <w:jc w:val="both"/>
        <w:rPr>
          <w:rFonts w:ascii="Cambria" w:eastAsia="Cambria" w:hAnsi="Cambria" w:cs="Cambria"/>
          <w:color w:val="000000" w:themeColor="text1"/>
        </w:rPr>
      </w:pPr>
    </w:p>
    <w:p w14:paraId="5D1A7D8E" w14:textId="3B4C970F" w:rsidR="54260B89" w:rsidRDefault="54260B89" w:rsidP="1FC32732">
      <w:pPr>
        <w:spacing w:after="0" w:line="240" w:lineRule="auto"/>
        <w:jc w:val="both"/>
        <w:rPr>
          <w:rFonts w:ascii="Cambria" w:eastAsia="Cambria" w:hAnsi="Cambria" w:cs="Cambria"/>
          <w:color w:val="000000" w:themeColor="text1"/>
        </w:rPr>
      </w:pPr>
      <w:r w:rsidRPr="1FC32732">
        <w:rPr>
          <w:rFonts w:ascii="Cambria" w:eastAsia="Cambria" w:hAnsi="Cambria" w:cs="Cambria"/>
          <w:color w:val="000000" w:themeColor="text1"/>
        </w:rPr>
        <w:t xml:space="preserve">Relatedly, we request that CMS make two changes to the CAH distance requirements. First, we ask that CMS specifically exclude REHs from the distance determination for CAHs. Considering that REHs only provide emergency department services, </w:t>
      </w:r>
      <w:r w:rsidR="007E2E80">
        <w:rPr>
          <w:rFonts w:ascii="Cambria" w:eastAsia="Cambria" w:hAnsi="Cambria" w:cs="Cambria"/>
          <w:color w:val="000000" w:themeColor="text1"/>
        </w:rPr>
        <w:t xml:space="preserve">furnish no inpatient services, </w:t>
      </w:r>
      <w:r w:rsidRPr="1FC32732">
        <w:rPr>
          <w:rFonts w:ascii="Cambria" w:eastAsia="Cambria" w:hAnsi="Cambria" w:cs="Cambria"/>
          <w:color w:val="000000" w:themeColor="text1"/>
        </w:rPr>
        <w:t>and can optionally furnish outpatient services, REHs serve a different purpose than CAHs</w:t>
      </w:r>
      <w:r w:rsidR="00835548">
        <w:rPr>
          <w:rFonts w:ascii="Cambria" w:eastAsia="Cambria" w:hAnsi="Cambria" w:cs="Cambria"/>
          <w:color w:val="000000" w:themeColor="text1"/>
        </w:rPr>
        <w:t xml:space="preserve"> or PPS hospitals</w:t>
      </w:r>
      <w:r w:rsidRPr="1FC32732">
        <w:rPr>
          <w:rFonts w:ascii="Cambria" w:eastAsia="Cambria" w:hAnsi="Cambria" w:cs="Cambria"/>
          <w:color w:val="000000" w:themeColor="text1"/>
        </w:rPr>
        <w:t>. [</w:t>
      </w:r>
      <w:r w:rsidRPr="1FC32732">
        <w:rPr>
          <w:rFonts w:ascii="Cambria" w:eastAsia="Cambria" w:hAnsi="Cambria" w:cs="Cambria"/>
          <w:color w:val="000000" w:themeColor="text1"/>
          <w:highlight w:val="yellow"/>
        </w:rPr>
        <w:t>Explain the potential ramifications of not excluding REHs to your area or hospital.</w:t>
      </w:r>
      <w:r w:rsidRPr="1FC32732">
        <w:rPr>
          <w:rFonts w:ascii="Cambria" w:eastAsia="Cambria" w:hAnsi="Cambria" w:cs="Cambria"/>
          <w:color w:val="000000" w:themeColor="text1"/>
        </w:rPr>
        <w:t xml:space="preserve">] </w:t>
      </w:r>
    </w:p>
    <w:p w14:paraId="142D89CB" w14:textId="480C28B7" w:rsidR="54260B89" w:rsidRDefault="54260B89" w:rsidP="54260B89">
      <w:pPr>
        <w:spacing w:after="0" w:line="240" w:lineRule="auto"/>
        <w:jc w:val="both"/>
        <w:rPr>
          <w:rFonts w:ascii="Cambria" w:eastAsia="Cambria" w:hAnsi="Cambria" w:cs="Cambria"/>
          <w:color w:val="000000" w:themeColor="text1"/>
        </w:rPr>
      </w:pPr>
    </w:p>
    <w:p w14:paraId="128BC9FE" w14:textId="130981E9" w:rsidR="54260B89" w:rsidRDefault="54260B89" w:rsidP="1FC32732">
      <w:pPr>
        <w:spacing w:after="0" w:line="240" w:lineRule="auto"/>
        <w:jc w:val="both"/>
        <w:rPr>
          <w:rFonts w:ascii="Cambria" w:eastAsia="Cambria" w:hAnsi="Cambria" w:cs="Cambria"/>
          <w:color w:val="000000" w:themeColor="text1"/>
        </w:rPr>
      </w:pPr>
      <w:r w:rsidRPr="1FC32732">
        <w:rPr>
          <w:rFonts w:ascii="Cambria" w:eastAsia="Cambria" w:hAnsi="Cambria" w:cs="Cambria"/>
          <w:color w:val="000000" w:themeColor="text1"/>
        </w:rPr>
        <w:t>Second, we urge CMS to codify sub-regulatory guidance from the State Operations Manual (SOM), Chapter 2, at 2256A.</w:t>
      </w:r>
      <w:r w:rsidRPr="1FC32732">
        <w:rPr>
          <w:rStyle w:val="FootnoteReference"/>
          <w:rFonts w:ascii="Cambria" w:eastAsia="Cambria" w:hAnsi="Cambria" w:cs="Cambria"/>
          <w:color w:val="000000" w:themeColor="text1"/>
        </w:rPr>
        <w:footnoteReference w:id="4"/>
      </w:r>
      <w:r w:rsidRPr="1FC32732">
        <w:rPr>
          <w:rFonts w:ascii="Cambria" w:eastAsia="Cambria" w:hAnsi="Cambria" w:cs="Cambria"/>
          <w:color w:val="000000" w:themeColor="text1"/>
        </w:rPr>
        <w:t xml:space="preserve"> This guidance explains that the proximity of IHS and Tribal hospitals or CAHs and non-IHS or Tribal hospitals or CAHs to each other is not considered when accounting for CAH </w:t>
      </w:r>
      <w:r w:rsidRPr="1FC32732">
        <w:rPr>
          <w:rFonts w:ascii="Cambria" w:eastAsia="Cambria" w:hAnsi="Cambria" w:cs="Cambria"/>
          <w:color w:val="000000" w:themeColor="text1"/>
        </w:rPr>
        <w:lastRenderedPageBreak/>
        <w:t>distance requirements.</w:t>
      </w:r>
      <w:r w:rsidRPr="1FC32732">
        <w:rPr>
          <w:rStyle w:val="FootnoteReference"/>
          <w:rFonts w:ascii="Cambria" w:eastAsia="Cambria" w:hAnsi="Cambria" w:cs="Cambria"/>
          <w:color w:val="000000" w:themeColor="text1"/>
        </w:rPr>
        <w:footnoteReference w:id="5"/>
      </w:r>
      <w:r w:rsidRPr="1FC32732">
        <w:rPr>
          <w:rFonts w:ascii="Cambria" w:eastAsia="Cambria" w:hAnsi="Cambria" w:cs="Cambria"/>
          <w:color w:val="000000" w:themeColor="text1"/>
        </w:rPr>
        <w:t xml:space="preserve"> </w:t>
      </w:r>
      <w:r w:rsidR="1FC32732" w:rsidRPr="1FC32732">
        <w:rPr>
          <w:rFonts w:ascii="Cambria" w:eastAsia="Cambria" w:hAnsi="Cambria" w:cs="Cambria"/>
          <w:color w:val="000000" w:themeColor="text1"/>
        </w:rPr>
        <w:t>CMS already follows this at a sub-regulatory level, so codifying this guidance</w:t>
      </w:r>
      <w:r w:rsidR="000C280F">
        <w:rPr>
          <w:rFonts w:ascii="Cambria" w:eastAsia="Cambria" w:hAnsi="Cambria" w:cs="Cambria"/>
          <w:color w:val="000000" w:themeColor="text1"/>
        </w:rPr>
        <w:t xml:space="preserve"> into regulation</w:t>
      </w:r>
      <w:r w:rsidR="1FC32732" w:rsidRPr="1FC32732">
        <w:rPr>
          <w:rFonts w:ascii="Cambria" w:eastAsia="Cambria" w:hAnsi="Cambria" w:cs="Cambria"/>
          <w:color w:val="000000" w:themeColor="text1"/>
        </w:rPr>
        <w:t xml:space="preserve"> would not change the verification process except to give hospitals clear expectations. </w:t>
      </w:r>
      <w:r w:rsidR="1FC32732" w:rsidRPr="1FC32732">
        <w:rPr>
          <w:rFonts w:ascii="Cambria" w:eastAsia="Cambria" w:hAnsi="Cambria" w:cs="Cambria"/>
        </w:rPr>
        <w:t xml:space="preserve"> </w:t>
      </w:r>
    </w:p>
    <w:p w14:paraId="548753B5" w14:textId="3670AD6A" w:rsidR="54260B89" w:rsidRDefault="54260B89" w:rsidP="1FC32732">
      <w:pPr>
        <w:spacing w:after="0" w:line="240" w:lineRule="auto"/>
        <w:jc w:val="both"/>
        <w:rPr>
          <w:rFonts w:ascii="Cambria" w:eastAsia="Cambria" w:hAnsi="Cambria" w:cs="Cambria"/>
          <w:color w:val="000000" w:themeColor="text1"/>
        </w:rPr>
      </w:pPr>
    </w:p>
    <w:p w14:paraId="7C2B7BF5" w14:textId="550F27E2" w:rsidR="54260B89" w:rsidRDefault="1FC32732" w:rsidP="54260B89">
      <w:pPr>
        <w:spacing w:after="0" w:line="240" w:lineRule="auto"/>
        <w:jc w:val="both"/>
      </w:pPr>
      <w:r w:rsidRPr="1FC32732">
        <w:rPr>
          <w:rFonts w:ascii="Cambria" w:eastAsia="Cambria" w:hAnsi="Cambria" w:cs="Cambria"/>
        </w:rPr>
        <w:t>Thank you for the chance to offer comments on this proposed rule and for your consideration of our comments. If you would like additional information, please contact [</w:t>
      </w:r>
      <w:r w:rsidRPr="1FC32732">
        <w:rPr>
          <w:rFonts w:ascii="Cambria" w:eastAsia="Cambria" w:hAnsi="Cambria" w:cs="Cambria"/>
          <w:highlight w:val="yellow"/>
        </w:rPr>
        <w:t>YOUR NAME OR REPRESENTATIVE</w:t>
      </w:r>
      <w:r w:rsidRPr="1FC32732">
        <w:rPr>
          <w:rFonts w:ascii="Cambria" w:eastAsia="Cambria" w:hAnsi="Cambria" w:cs="Cambria"/>
        </w:rPr>
        <w:t>] at [</w:t>
      </w:r>
      <w:r w:rsidRPr="1FC32732">
        <w:rPr>
          <w:rFonts w:ascii="Cambria" w:eastAsia="Cambria" w:hAnsi="Cambria" w:cs="Cambria"/>
          <w:highlight w:val="yellow"/>
        </w:rPr>
        <w:t>EMAIL</w:t>
      </w:r>
      <w:r w:rsidRPr="1FC32732">
        <w:rPr>
          <w:rFonts w:ascii="Cambria" w:eastAsia="Cambria" w:hAnsi="Cambria" w:cs="Cambria"/>
        </w:rPr>
        <w:t>] or [</w:t>
      </w:r>
      <w:r w:rsidRPr="1FC32732">
        <w:rPr>
          <w:rFonts w:ascii="Cambria" w:eastAsia="Cambria" w:hAnsi="Cambria" w:cs="Cambria"/>
          <w:highlight w:val="yellow"/>
        </w:rPr>
        <w:t>PHONE NUMBER</w:t>
      </w:r>
      <w:r w:rsidRPr="1FC32732">
        <w:rPr>
          <w:rFonts w:ascii="Cambria" w:eastAsia="Cambria" w:hAnsi="Cambria" w:cs="Cambria"/>
        </w:rPr>
        <w:t xml:space="preserve">]. </w:t>
      </w:r>
    </w:p>
    <w:p w14:paraId="66FCAEBC" w14:textId="2DB970E9" w:rsidR="54260B89" w:rsidRDefault="54260B89" w:rsidP="1FC32732">
      <w:pPr>
        <w:spacing w:after="0" w:line="240" w:lineRule="auto"/>
        <w:jc w:val="both"/>
        <w:rPr>
          <w:rFonts w:ascii="Cambria" w:eastAsia="Cambria" w:hAnsi="Cambria" w:cs="Cambria"/>
        </w:rPr>
      </w:pPr>
    </w:p>
    <w:p w14:paraId="3BE45889" w14:textId="54E5EF7D" w:rsidR="54260B89" w:rsidRDefault="54260B89" w:rsidP="1FC32732">
      <w:pPr>
        <w:spacing w:after="0" w:line="240" w:lineRule="auto"/>
        <w:jc w:val="both"/>
        <w:rPr>
          <w:rFonts w:ascii="Cambria" w:eastAsia="Cambria" w:hAnsi="Cambria" w:cs="Cambria"/>
        </w:rPr>
      </w:pPr>
    </w:p>
    <w:p w14:paraId="1185945F" w14:textId="191DF9DF" w:rsidR="54260B89" w:rsidRDefault="1FC32732" w:rsidP="54260B89">
      <w:pPr>
        <w:spacing w:after="0" w:line="240" w:lineRule="auto"/>
        <w:jc w:val="both"/>
      </w:pPr>
      <w:r w:rsidRPr="1FC32732">
        <w:rPr>
          <w:rFonts w:ascii="Cambria" w:eastAsia="Cambria" w:hAnsi="Cambria" w:cs="Cambria"/>
        </w:rPr>
        <w:t>Sincerely,</w:t>
      </w:r>
    </w:p>
    <w:p w14:paraId="5C58313C" w14:textId="51B8F949" w:rsidR="54260B89" w:rsidRDefault="54260B89" w:rsidP="1FC32732">
      <w:pPr>
        <w:spacing w:after="0" w:line="240" w:lineRule="auto"/>
        <w:jc w:val="both"/>
        <w:rPr>
          <w:rFonts w:ascii="Cambria" w:eastAsia="Cambria" w:hAnsi="Cambria" w:cs="Cambria"/>
          <w:color w:val="000000" w:themeColor="text1"/>
        </w:rPr>
      </w:pPr>
    </w:p>
    <w:p w14:paraId="0C3BF54E" w14:textId="292A72FE" w:rsidR="1FC32732" w:rsidRDefault="1FC32732" w:rsidP="1FC32732">
      <w:pPr>
        <w:spacing w:after="0" w:line="240" w:lineRule="auto"/>
        <w:jc w:val="both"/>
        <w:rPr>
          <w:rFonts w:ascii="Cambria" w:eastAsia="Cambria" w:hAnsi="Cambria" w:cs="Cambria"/>
          <w:color w:val="000000" w:themeColor="text1"/>
        </w:rPr>
      </w:pPr>
    </w:p>
    <w:p w14:paraId="552E2206" w14:textId="70A8D9D4" w:rsidR="1FC32732" w:rsidRDefault="1FC32732" w:rsidP="1FC32732">
      <w:pPr>
        <w:spacing w:after="0" w:line="240" w:lineRule="auto"/>
        <w:jc w:val="both"/>
        <w:rPr>
          <w:rFonts w:ascii="Cambria" w:eastAsia="Cambria" w:hAnsi="Cambria" w:cs="Cambria"/>
          <w:color w:val="000000" w:themeColor="text1"/>
          <w:highlight w:val="yellow"/>
        </w:rPr>
      </w:pPr>
      <w:r w:rsidRPr="1FC32732">
        <w:rPr>
          <w:rFonts w:ascii="Cambria" w:eastAsia="Cambria" w:hAnsi="Cambria" w:cs="Cambria"/>
          <w:color w:val="000000" w:themeColor="text1"/>
          <w:highlight w:val="yellow"/>
        </w:rPr>
        <w:t>[E-SIGNATURE]</w:t>
      </w:r>
    </w:p>
    <w:p w14:paraId="539EC55C" w14:textId="1D653DA9" w:rsidR="1FC32732" w:rsidRDefault="1FC32732" w:rsidP="1FC32732">
      <w:pPr>
        <w:spacing w:after="0" w:line="240" w:lineRule="auto"/>
        <w:jc w:val="both"/>
        <w:rPr>
          <w:rFonts w:ascii="Cambria" w:eastAsia="Cambria" w:hAnsi="Cambria" w:cs="Cambria"/>
          <w:color w:val="000000" w:themeColor="text1"/>
          <w:highlight w:val="yellow"/>
        </w:rPr>
      </w:pPr>
    </w:p>
    <w:p w14:paraId="7F4C27E5" w14:textId="378A4827" w:rsidR="1FC32732" w:rsidRDefault="1FC32732" w:rsidP="1FC32732">
      <w:pPr>
        <w:spacing w:after="0" w:line="240" w:lineRule="auto"/>
        <w:jc w:val="both"/>
        <w:rPr>
          <w:rFonts w:ascii="Cambria" w:eastAsia="Cambria" w:hAnsi="Cambria" w:cs="Cambria"/>
          <w:color w:val="000000" w:themeColor="text1"/>
          <w:highlight w:val="yellow"/>
        </w:rPr>
      </w:pPr>
    </w:p>
    <w:p w14:paraId="3B143826" w14:textId="65082AB0" w:rsidR="1FC32732" w:rsidRDefault="1FC32732" w:rsidP="1FC32732">
      <w:pPr>
        <w:spacing w:after="0" w:line="240" w:lineRule="auto"/>
        <w:jc w:val="both"/>
        <w:rPr>
          <w:rFonts w:ascii="Cambria" w:eastAsia="Cambria" w:hAnsi="Cambria" w:cs="Cambria"/>
          <w:color w:val="000000" w:themeColor="text1"/>
          <w:highlight w:val="yellow"/>
        </w:rPr>
      </w:pPr>
      <w:r w:rsidRPr="1FC32732">
        <w:rPr>
          <w:rFonts w:ascii="Cambria" w:eastAsia="Cambria" w:hAnsi="Cambria" w:cs="Cambria"/>
          <w:color w:val="000000" w:themeColor="text1"/>
          <w:highlight w:val="yellow"/>
        </w:rPr>
        <w:t>Your Name</w:t>
      </w:r>
    </w:p>
    <w:p w14:paraId="5B90780C" w14:textId="067E18CF" w:rsidR="1FC32732" w:rsidRDefault="1FC32732" w:rsidP="1FC32732">
      <w:pPr>
        <w:spacing w:after="0" w:line="240" w:lineRule="auto"/>
        <w:jc w:val="both"/>
        <w:rPr>
          <w:rFonts w:ascii="Cambria" w:eastAsia="Cambria" w:hAnsi="Cambria" w:cs="Cambria"/>
          <w:color w:val="000000" w:themeColor="text1"/>
          <w:highlight w:val="yellow"/>
        </w:rPr>
      </w:pPr>
      <w:r w:rsidRPr="1FC32732">
        <w:rPr>
          <w:rFonts w:ascii="Cambria" w:eastAsia="Cambria" w:hAnsi="Cambria" w:cs="Cambria"/>
          <w:color w:val="000000" w:themeColor="text1"/>
          <w:highlight w:val="yellow"/>
        </w:rPr>
        <w:t>Your Title (if applicable)</w:t>
      </w:r>
    </w:p>
    <w:p w14:paraId="2C3EDFA1" w14:textId="4CA6C10D" w:rsidR="1FC32732" w:rsidRDefault="1FC32732" w:rsidP="1FC32732">
      <w:pPr>
        <w:spacing w:after="0" w:line="240" w:lineRule="auto"/>
        <w:jc w:val="both"/>
        <w:rPr>
          <w:rFonts w:ascii="Cambria" w:eastAsia="Cambria" w:hAnsi="Cambria" w:cs="Cambria"/>
          <w:color w:val="000000" w:themeColor="text1"/>
          <w:highlight w:val="yellow"/>
        </w:rPr>
      </w:pPr>
      <w:r w:rsidRPr="1FC32732">
        <w:rPr>
          <w:rFonts w:ascii="Cambria" w:eastAsia="Cambria" w:hAnsi="Cambria" w:cs="Cambria"/>
          <w:color w:val="000000" w:themeColor="text1"/>
          <w:highlight w:val="yellow"/>
        </w:rPr>
        <w:t>Your organization</w:t>
      </w:r>
    </w:p>
    <w:sectPr w:rsidR="1FC327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32FEE" w14:textId="77777777" w:rsidR="00F940F7" w:rsidRDefault="00F940F7">
      <w:pPr>
        <w:spacing w:after="0" w:line="240" w:lineRule="auto"/>
      </w:pPr>
      <w:r>
        <w:separator/>
      </w:r>
    </w:p>
  </w:endnote>
  <w:endnote w:type="continuationSeparator" w:id="0">
    <w:p w14:paraId="56C3D862" w14:textId="77777777" w:rsidR="00F940F7" w:rsidRDefault="00F94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1FE3D" w14:textId="77777777" w:rsidR="00F940F7" w:rsidRDefault="00F940F7">
      <w:pPr>
        <w:spacing w:after="0" w:line="240" w:lineRule="auto"/>
      </w:pPr>
      <w:r>
        <w:separator/>
      </w:r>
    </w:p>
  </w:footnote>
  <w:footnote w:type="continuationSeparator" w:id="0">
    <w:p w14:paraId="34ADEE48" w14:textId="77777777" w:rsidR="00F940F7" w:rsidRDefault="00F940F7">
      <w:pPr>
        <w:spacing w:after="0" w:line="240" w:lineRule="auto"/>
      </w:pPr>
      <w:r>
        <w:continuationSeparator/>
      </w:r>
    </w:p>
  </w:footnote>
  <w:footnote w:id="1">
    <w:p w14:paraId="497E4C26" w14:textId="69269968" w:rsidR="00C36043" w:rsidRPr="001867B0" w:rsidRDefault="00C36043" w:rsidP="00C36043">
      <w:pPr>
        <w:pStyle w:val="FootnoteText"/>
        <w:rPr>
          <w:rFonts w:ascii="Cambria" w:hAnsi="Cambria"/>
        </w:rPr>
      </w:pPr>
      <w:r w:rsidRPr="001867B0">
        <w:rPr>
          <w:rStyle w:val="FootnoteReference"/>
          <w:rFonts w:ascii="Cambria" w:hAnsi="Cambria"/>
        </w:rPr>
        <w:footnoteRef/>
      </w:r>
      <w:r w:rsidRPr="001867B0">
        <w:rPr>
          <w:rFonts w:ascii="Cambria" w:hAnsi="Cambria"/>
        </w:rPr>
        <w:t xml:space="preserve"> </w:t>
      </w:r>
      <w:r w:rsidR="005802B3" w:rsidRPr="001867B0">
        <w:rPr>
          <w:rFonts w:ascii="Cambria" w:hAnsi="Cambria"/>
        </w:rPr>
        <w:t>42 U.S.C. § 1395x(</w:t>
      </w:r>
      <w:proofErr w:type="spellStart"/>
      <w:r w:rsidR="005802B3" w:rsidRPr="001867B0">
        <w:rPr>
          <w:rFonts w:ascii="Cambria" w:hAnsi="Cambria"/>
        </w:rPr>
        <w:t>kkk</w:t>
      </w:r>
      <w:proofErr w:type="spellEnd"/>
      <w:r w:rsidR="005802B3" w:rsidRPr="001867B0">
        <w:rPr>
          <w:rFonts w:ascii="Cambria" w:hAnsi="Cambria"/>
        </w:rPr>
        <w:t>)(6)(</w:t>
      </w:r>
      <w:r w:rsidR="00DD3FB7" w:rsidRPr="001867B0">
        <w:rPr>
          <w:rFonts w:ascii="Cambria" w:hAnsi="Cambria"/>
        </w:rPr>
        <w:t>B) (“A rural emergency hospital may be considered a hospital with less than 50 beds for purposes of the exception to the payment limit for rural health clinics under section 1833(f)”).</w:t>
      </w:r>
    </w:p>
  </w:footnote>
  <w:footnote w:id="2">
    <w:p w14:paraId="70420AAA" w14:textId="77777777" w:rsidR="001867B0" w:rsidRPr="001867B0" w:rsidRDefault="00B8255F" w:rsidP="001867B0">
      <w:pPr>
        <w:pStyle w:val="FootnoteText"/>
        <w:rPr>
          <w:rFonts w:ascii="Cambria" w:hAnsi="Cambria"/>
        </w:rPr>
      </w:pPr>
      <w:r w:rsidRPr="001867B0">
        <w:rPr>
          <w:rStyle w:val="FootnoteReference"/>
          <w:rFonts w:ascii="Cambria" w:hAnsi="Cambria"/>
        </w:rPr>
        <w:footnoteRef/>
      </w:r>
      <w:r w:rsidRPr="001867B0">
        <w:rPr>
          <w:rFonts w:ascii="Cambria" w:hAnsi="Cambria"/>
        </w:rPr>
        <w:t xml:space="preserve"> </w:t>
      </w:r>
      <w:r w:rsidR="001867B0" w:rsidRPr="001867B0">
        <w:rPr>
          <w:rFonts w:ascii="Cambria" w:hAnsi="Cambria"/>
        </w:rPr>
        <w:t>Update to Rural Health Clinic (RHC) All Inclusive Rate (AIR) Payment Limit for</w:t>
      </w:r>
    </w:p>
    <w:p w14:paraId="5895AEB6" w14:textId="30A00914" w:rsidR="00B8255F" w:rsidRPr="001867B0" w:rsidRDefault="001867B0" w:rsidP="001867B0">
      <w:pPr>
        <w:pStyle w:val="FootnoteText"/>
        <w:rPr>
          <w:rFonts w:ascii="Cambria" w:hAnsi="Cambria"/>
        </w:rPr>
      </w:pPr>
      <w:r w:rsidRPr="001867B0">
        <w:rPr>
          <w:rFonts w:ascii="Cambria" w:hAnsi="Cambria"/>
        </w:rPr>
        <w:t>Calendar Year (CY) 2022</w:t>
      </w:r>
      <w:r w:rsidR="009B6DF8" w:rsidRPr="001867B0">
        <w:rPr>
          <w:rFonts w:ascii="Cambria" w:hAnsi="Cambria"/>
        </w:rPr>
        <w:t xml:space="preserve">, </w:t>
      </w:r>
      <w:r w:rsidR="009B6DF8" w:rsidRPr="001867B0">
        <w:rPr>
          <w:rFonts w:ascii="Cambria" w:hAnsi="Cambria"/>
          <w:smallCaps/>
        </w:rPr>
        <w:t>Centers for Medicare and Medicaid Services</w:t>
      </w:r>
      <w:r w:rsidR="009B6DF8" w:rsidRPr="001867B0">
        <w:rPr>
          <w:rFonts w:ascii="Cambria" w:hAnsi="Cambria"/>
        </w:rPr>
        <w:t xml:space="preserve"> (Nov. 19, 2021) </w:t>
      </w:r>
      <w:hyperlink r:id="rId1" w:history="1">
        <w:r w:rsidR="009B6DF8" w:rsidRPr="001867B0">
          <w:rPr>
            <w:rStyle w:val="Hyperlink"/>
            <w:rFonts w:ascii="Cambria" w:hAnsi="Cambria"/>
          </w:rPr>
          <w:t>https://www.hhs.gov/guidance/sites/default/files/hhs-guidance-documents/R11130CP.pdf</w:t>
        </w:r>
      </w:hyperlink>
      <w:r w:rsidR="009B6DF8" w:rsidRPr="001867B0">
        <w:rPr>
          <w:rFonts w:ascii="Cambria" w:hAnsi="Cambria"/>
        </w:rPr>
        <w:t>.</w:t>
      </w:r>
    </w:p>
  </w:footnote>
  <w:footnote w:id="3">
    <w:p w14:paraId="13A7B24C" w14:textId="1667A79E" w:rsidR="1FC32732" w:rsidRPr="001867B0" w:rsidRDefault="1FC32732" w:rsidP="1FC32732">
      <w:pPr>
        <w:pStyle w:val="FootnoteText"/>
        <w:rPr>
          <w:rFonts w:ascii="Cambria" w:hAnsi="Cambria"/>
        </w:rPr>
      </w:pPr>
      <w:r w:rsidRPr="001867B0">
        <w:rPr>
          <w:rStyle w:val="FootnoteReference"/>
          <w:rFonts w:ascii="Cambria" w:hAnsi="Cambria"/>
        </w:rPr>
        <w:footnoteRef/>
      </w:r>
      <w:r w:rsidRPr="001867B0">
        <w:rPr>
          <w:rFonts w:ascii="Cambria" w:hAnsi="Cambria"/>
        </w:rPr>
        <w:t xml:space="preserve"> Medicare Program: Hospital Outpatient Prospective Payment and Ambulatory Surgical Center Payment Systems and Quality Reporting Programs; Organ Acquisition; Rural Emergency Hospitals: Payment Policies, Conditions of Participation, Provider Enrollment, Physician Self-Referral. 87 Fed. Reg. 44502.</w:t>
      </w:r>
    </w:p>
  </w:footnote>
  <w:footnote w:id="4">
    <w:p w14:paraId="778D31B8" w14:textId="0116C996" w:rsidR="54260B89" w:rsidRPr="001867B0" w:rsidRDefault="54260B89" w:rsidP="76EF7295">
      <w:pPr>
        <w:pStyle w:val="FootnoteText"/>
        <w:rPr>
          <w:rFonts w:ascii="Cambria" w:hAnsi="Cambria"/>
        </w:rPr>
      </w:pPr>
      <w:r w:rsidRPr="001867B0">
        <w:rPr>
          <w:rStyle w:val="FootnoteReference"/>
          <w:rFonts w:ascii="Cambria" w:hAnsi="Cambria"/>
        </w:rPr>
        <w:footnoteRef/>
      </w:r>
      <w:r w:rsidR="76EF7295" w:rsidRPr="001867B0">
        <w:rPr>
          <w:rFonts w:ascii="Cambria" w:hAnsi="Cambria"/>
        </w:rPr>
        <w:t xml:space="preserve"> </w:t>
      </w:r>
      <w:r w:rsidR="76EF7295" w:rsidRPr="001867B0">
        <w:rPr>
          <w:rFonts w:ascii="Cambria" w:hAnsi="Cambria"/>
          <w:color w:val="000000" w:themeColor="text1"/>
        </w:rPr>
        <w:t xml:space="preserve">Centers for Medicare and Medicaid Services, State Operations Manual, Chapter 2 – The Certification Process, 2256A, 241 (March 11, 2022) </w:t>
      </w:r>
      <w:hyperlink r:id="rId2">
        <w:r w:rsidR="76EF7295" w:rsidRPr="001867B0">
          <w:rPr>
            <w:rStyle w:val="Hyperlink"/>
            <w:rFonts w:ascii="Cambria" w:hAnsi="Cambria"/>
          </w:rPr>
          <w:t>https://www.cms.gov/Regulations-and-Guidance/Guidance/Manuals/Downloads/som107c02.pdf</w:t>
        </w:r>
      </w:hyperlink>
      <w:r w:rsidR="76EF7295" w:rsidRPr="001867B0">
        <w:rPr>
          <w:rFonts w:ascii="Cambria" w:hAnsi="Cambria"/>
          <w:color w:val="000000" w:themeColor="text1"/>
        </w:rPr>
        <w:t>.</w:t>
      </w:r>
    </w:p>
  </w:footnote>
  <w:footnote w:id="5">
    <w:p w14:paraId="1D8B612A" w14:textId="2D2A7CFA" w:rsidR="54260B89" w:rsidRPr="001867B0" w:rsidRDefault="54260B89" w:rsidP="76EF7295">
      <w:pPr>
        <w:pStyle w:val="FootnoteText"/>
        <w:rPr>
          <w:rFonts w:ascii="Cambria" w:hAnsi="Cambria"/>
          <w:i/>
          <w:iCs/>
        </w:rPr>
      </w:pPr>
      <w:r w:rsidRPr="001867B0">
        <w:rPr>
          <w:rStyle w:val="FootnoteReference"/>
          <w:rFonts w:ascii="Cambria" w:hAnsi="Cambria"/>
        </w:rPr>
        <w:footnoteRef/>
      </w:r>
      <w:r w:rsidR="76EF7295" w:rsidRPr="001867B0">
        <w:rPr>
          <w:rFonts w:ascii="Cambria" w:hAnsi="Cambria"/>
        </w:rPr>
        <w:t xml:space="preserve"> </w:t>
      </w:r>
      <w:r w:rsidR="76EF7295" w:rsidRPr="001867B0">
        <w:rPr>
          <w:rFonts w:ascii="Cambria" w:hAnsi="Cambria"/>
          <w:i/>
          <w:iCs/>
        </w:rPr>
        <w:t>Id.</w:t>
      </w:r>
    </w:p>
  </w:footnote>
</w:footnotes>
</file>

<file path=word/intelligence2.xml><?xml version="1.0" encoding="utf-8"?>
<int2:intelligence xmlns:int2="http://schemas.microsoft.com/office/intelligence/2020/intelligence" xmlns:oel="http://schemas.microsoft.com/office/2019/extlst">
  <int2:observations>
    <int2:textHash int2:hashCode="yt5KCK4ekZLuBa" int2:id="bZy0f5oq">
      <int2:state int2:value="Rejected" int2:type="LegacyProofing"/>
    </int2:textHash>
    <int2:bookmark int2:bookmarkName="_Int_NHDgRZph" int2:invalidationBookmarkName="" int2:hashCode="oDKeFME1Nby2NZ" int2:id="XnF5MnOv">
      <int2:state int2:value="Rejected" int2:type="LegacyProofing"/>
    </int2:bookmark>
    <int2:bookmark int2:bookmarkName="_Int_BSE48gCi" int2:invalidationBookmarkName="" int2:hashCode="PHWk9zV+jgHp9c" int2:id="VQWsLyy2">
      <int2:state int2:value="Rejected" int2:type="LegacyProofing"/>
    </int2:bookmark>
    <int2:bookmark int2:bookmarkName="_Int_RRBwTFfe" int2:invalidationBookmarkName="" int2:hashCode="WHiaK/v39eY1G8" int2:id="3fjyvPh4">
      <int2:state int2:value="Rejected" int2:type="LegacyProofing"/>
    </int2:bookmark>
    <int2:bookmark int2:bookmarkName="_Int_46dNu2uF" int2:invalidationBookmarkName="" int2:hashCode="WHiaK/v39eY1G8" int2:id="iKJ0QL2R">
      <int2:state int2:value="Rejected" int2:type="LegacyProofing"/>
    </int2:bookmark>
    <int2:bookmark int2:bookmarkName="_Int_XiXXDVGd" int2:invalidationBookmarkName="" int2:hashCode="WHiaK/v39eY1G8" int2:id="q2kbwZUC">
      <int2:state int2:value="Rejected" int2:type="LegacyProofing"/>
    </int2:bookmark>
    <int2:bookmark int2:bookmarkName="_Int_TLiEOg15" int2:invalidationBookmarkName="" int2:hashCode="WHiaK/v39eY1G8" int2:id="RO8le5IQ">
      <int2:state int2:value="Rejected" int2:type="LegacyProofing"/>
    </int2:bookmark>
    <int2:bookmark int2:bookmarkName="_Int_igl4nIMz" int2:invalidationBookmarkName="" int2:hashCode="WHiaK/v39eY1G8" int2:id="unlRS6Nh">
      <int2:state int2:value="Rejected" int2:type="LegacyProofing"/>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541A8A"/>
    <w:rsid w:val="0001521B"/>
    <w:rsid w:val="000C280F"/>
    <w:rsid w:val="000E1ECB"/>
    <w:rsid w:val="00113F35"/>
    <w:rsid w:val="00117F28"/>
    <w:rsid w:val="00166DD3"/>
    <w:rsid w:val="001867B0"/>
    <w:rsid w:val="001C300D"/>
    <w:rsid w:val="001E17F1"/>
    <w:rsid w:val="0021669B"/>
    <w:rsid w:val="002661BC"/>
    <w:rsid w:val="00267929"/>
    <w:rsid w:val="002A1F44"/>
    <w:rsid w:val="003E60F3"/>
    <w:rsid w:val="0042249E"/>
    <w:rsid w:val="0045107C"/>
    <w:rsid w:val="0047677D"/>
    <w:rsid w:val="004B23CF"/>
    <w:rsid w:val="004D0531"/>
    <w:rsid w:val="004D3AF6"/>
    <w:rsid w:val="004F7311"/>
    <w:rsid w:val="00556071"/>
    <w:rsid w:val="005744F8"/>
    <w:rsid w:val="005802B3"/>
    <w:rsid w:val="005B48C2"/>
    <w:rsid w:val="0063634A"/>
    <w:rsid w:val="00662163"/>
    <w:rsid w:val="006642CB"/>
    <w:rsid w:val="007010B4"/>
    <w:rsid w:val="00745E02"/>
    <w:rsid w:val="00780810"/>
    <w:rsid w:val="007C12C5"/>
    <w:rsid w:val="007E2E80"/>
    <w:rsid w:val="00835548"/>
    <w:rsid w:val="00863634"/>
    <w:rsid w:val="008E6B0C"/>
    <w:rsid w:val="009236B3"/>
    <w:rsid w:val="00971512"/>
    <w:rsid w:val="00996127"/>
    <w:rsid w:val="009B4AC5"/>
    <w:rsid w:val="009B6DF8"/>
    <w:rsid w:val="009B7D2C"/>
    <w:rsid w:val="00A01C22"/>
    <w:rsid w:val="00A55C89"/>
    <w:rsid w:val="00A942F8"/>
    <w:rsid w:val="00B8255F"/>
    <w:rsid w:val="00B86CC2"/>
    <w:rsid w:val="00C36043"/>
    <w:rsid w:val="00C3793F"/>
    <w:rsid w:val="00CD6AD0"/>
    <w:rsid w:val="00CE49CD"/>
    <w:rsid w:val="00D169EF"/>
    <w:rsid w:val="00D34269"/>
    <w:rsid w:val="00D37C1D"/>
    <w:rsid w:val="00D50A34"/>
    <w:rsid w:val="00D51C15"/>
    <w:rsid w:val="00D7568E"/>
    <w:rsid w:val="00DA43F8"/>
    <w:rsid w:val="00DA6CD6"/>
    <w:rsid w:val="00DB7FF6"/>
    <w:rsid w:val="00DD3FB7"/>
    <w:rsid w:val="00E30E24"/>
    <w:rsid w:val="00E743CA"/>
    <w:rsid w:val="00ED6F70"/>
    <w:rsid w:val="00F2099B"/>
    <w:rsid w:val="00F863EE"/>
    <w:rsid w:val="00F940F7"/>
    <w:rsid w:val="02A6C408"/>
    <w:rsid w:val="04E35F96"/>
    <w:rsid w:val="077A352B"/>
    <w:rsid w:val="0D63314C"/>
    <w:rsid w:val="0D8F7018"/>
    <w:rsid w:val="0ECE09DB"/>
    <w:rsid w:val="0F13ABB3"/>
    <w:rsid w:val="108575A9"/>
    <w:rsid w:val="12FFE588"/>
    <w:rsid w:val="134D934B"/>
    <w:rsid w:val="1365A085"/>
    <w:rsid w:val="13F52D01"/>
    <w:rsid w:val="14384D95"/>
    <w:rsid w:val="14F98360"/>
    <w:rsid w:val="1559E0D3"/>
    <w:rsid w:val="18DCE7FC"/>
    <w:rsid w:val="19E4B2E5"/>
    <w:rsid w:val="1A78B85D"/>
    <w:rsid w:val="1BF87D17"/>
    <w:rsid w:val="1C0BF04F"/>
    <w:rsid w:val="1C8B8670"/>
    <w:rsid w:val="1D35C1A7"/>
    <w:rsid w:val="1D944D78"/>
    <w:rsid w:val="1E908B95"/>
    <w:rsid w:val="1F5673EB"/>
    <w:rsid w:val="1F9D76E5"/>
    <w:rsid w:val="1FB0BE0D"/>
    <w:rsid w:val="1FC32732"/>
    <w:rsid w:val="202667A9"/>
    <w:rsid w:val="220932CA"/>
    <w:rsid w:val="232760CF"/>
    <w:rsid w:val="235A0422"/>
    <w:rsid w:val="239F2CE7"/>
    <w:rsid w:val="244E715F"/>
    <w:rsid w:val="24C7F72F"/>
    <w:rsid w:val="25E707C0"/>
    <w:rsid w:val="25EA41C0"/>
    <w:rsid w:val="261AF5AE"/>
    <w:rsid w:val="269AE41F"/>
    <w:rsid w:val="270C63F6"/>
    <w:rsid w:val="27861221"/>
    <w:rsid w:val="279B4907"/>
    <w:rsid w:val="282710BE"/>
    <w:rsid w:val="282D7545"/>
    <w:rsid w:val="2867EEF8"/>
    <w:rsid w:val="28F91E78"/>
    <w:rsid w:val="2AC5A069"/>
    <w:rsid w:val="2BCA9E33"/>
    <w:rsid w:val="2DA85C5E"/>
    <w:rsid w:val="2DC022FA"/>
    <w:rsid w:val="2DC5D200"/>
    <w:rsid w:val="2DE533F1"/>
    <w:rsid w:val="2DF4A95B"/>
    <w:rsid w:val="2DFD412B"/>
    <w:rsid w:val="30541A8A"/>
    <w:rsid w:val="3249F636"/>
    <w:rsid w:val="3345721F"/>
    <w:rsid w:val="34E14280"/>
    <w:rsid w:val="350F14E3"/>
    <w:rsid w:val="367D12E1"/>
    <w:rsid w:val="37A42371"/>
    <w:rsid w:val="37B95A57"/>
    <w:rsid w:val="387FD92A"/>
    <w:rsid w:val="38ABA7BC"/>
    <w:rsid w:val="39B4B3A3"/>
    <w:rsid w:val="3A6094E7"/>
    <w:rsid w:val="3ABA0406"/>
    <w:rsid w:val="3AF0FB19"/>
    <w:rsid w:val="3B34C318"/>
    <w:rsid w:val="3C23FD1C"/>
    <w:rsid w:val="3C5F13A2"/>
    <w:rsid w:val="3CEC5465"/>
    <w:rsid w:val="3DF1A4C8"/>
    <w:rsid w:val="3DFAE403"/>
    <w:rsid w:val="3EBE9157"/>
    <w:rsid w:val="402ADCBA"/>
    <w:rsid w:val="405A61B8"/>
    <w:rsid w:val="4175A559"/>
    <w:rsid w:val="41F63219"/>
    <w:rsid w:val="43B8D8DE"/>
    <w:rsid w:val="43EFCFF1"/>
    <w:rsid w:val="44277350"/>
    <w:rsid w:val="447286C5"/>
    <w:rsid w:val="449767A0"/>
    <w:rsid w:val="44DF09F5"/>
    <w:rsid w:val="481AA4AE"/>
    <w:rsid w:val="4849FF6E"/>
    <w:rsid w:val="493C44F5"/>
    <w:rsid w:val="4C14A989"/>
    <w:rsid w:val="4C73E5B7"/>
    <w:rsid w:val="4C764D34"/>
    <w:rsid w:val="4D7823D0"/>
    <w:rsid w:val="4D817B51"/>
    <w:rsid w:val="4D9191D0"/>
    <w:rsid w:val="4DB646F9"/>
    <w:rsid w:val="4E0C2948"/>
    <w:rsid w:val="4EB03BA2"/>
    <w:rsid w:val="4F0D7C39"/>
    <w:rsid w:val="4F5F397C"/>
    <w:rsid w:val="4FDFD90E"/>
    <w:rsid w:val="5064B893"/>
    <w:rsid w:val="50D1D599"/>
    <w:rsid w:val="52DCC2B4"/>
    <w:rsid w:val="52DD8329"/>
    <w:rsid w:val="54260B89"/>
    <w:rsid w:val="5676C5D7"/>
    <w:rsid w:val="570AFE20"/>
    <w:rsid w:val="5875D4F0"/>
    <w:rsid w:val="5889456E"/>
    <w:rsid w:val="5A46D5FC"/>
    <w:rsid w:val="5C2724D8"/>
    <w:rsid w:val="5C6C1034"/>
    <w:rsid w:val="5C8DD2BF"/>
    <w:rsid w:val="5D5CB691"/>
    <w:rsid w:val="5EAA1916"/>
    <w:rsid w:val="5FA9FF52"/>
    <w:rsid w:val="5FBA729A"/>
    <w:rsid w:val="60E743E2"/>
    <w:rsid w:val="632C8277"/>
    <w:rsid w:val="665AA317"/>
    <w:rsid w:val="67157EF3"/>
    <w:rsid w:val="68EC7F83"/>
    <w:rsid w:val="69932C2B"/>
    <w:rsid w:val="6C8A2184"/>
    <w:rsid w:val="6DCD9FA8"/>
    <w:rsid w:val="6FC1C246"/>
    <w:rsid w:val="6FD5D4D4"/>
    <w:rsid w:val="70E43F4F"/>
    <w:rsid w:val="730D7596"/>
    <w:rsid w:val="76DF8057"/>
    <w:rsid w:val="76EF7295"/>
    <w:rsid w:val="7798321F"/>
    <w:rsid w:val="789D4E4E"/>
    <w:rsid w:val="7A14EB72"/>
    <w:rsid w:val="7B55A5AC"/>
    <w:rsid w:val="7CFDC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41A8A"/>
  <w15:chartTrackingRefBased/>
  <w15:docId w15:val="{3394999E-E482-4941-B44F-29A02D703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sid w:val="00CE49CD"/>
    <w:rPr>
      <w:sz w:val="16"/>
      <w:szCs w:val="16"/>
    </w:rPr>
  </w:style>
  <w:style w:type="paragraph" w:styleId="CommentText">
    <w:name w:val="annotation text"/>
    <w:basedOn w:val="Normal"/>
    <w:link w:val="CommentTextChar"/>
    <w:uiPriority w:val="99"/>
    <w:unhideWhenUsed/>
    <w:rsid w:val="00CE49CD"/>
    <w:pPr>
      <w:spacing w:line="240" w:lineRule="auto"/>
    </w:pPr>
    <w:rPr>
      <w:sz w:val="20"/>
      <w:szCs w:val="20"/>
    </w:rPr>
  </w:style>
  <w:style w:type="character" w:customStyle="1" w:styleId="CommentTextChar">
    <w:name w:val="Comment Text Char"/>
    <w:basedOn w:val="DefaultParagraphFont"/>
    <w:link w:val="CommentText"/>
    <w:uiPriority w:val="99"/>
    <w:rsid w:val="00CE49CD"/>
    <w:rPr>
      <w:sz w:val="20"/>
      <w:szCs w:val="20"/>
    </w:rPr>
  </w:style>
  <w:style w:type="paragraph" w:styleId="CommentSubject">
    <w:name w:val="annotation subject"/>
    <w:basedOn w:val="CommentText"/>
    <w:next w:val="CommentText"/>
    <w:link w:val="CommentSubjectChar"/>
    <w:uiPriority w:val="99"/>
    <w:semiHidden/>
    <w:unhideWhenUsed/>
    <w:rsid w:val="00CE49CD"/>
    <w:rPr>
      <w:b/>
      <w:bCs/>
    </w:rPr>
  </w:style>
  <w:style w:type="character" w:customStyle="1" w:styleId="CommentSubjectChar">
    <w:name w:val="Comment Subject Char"/>
    <w:basedOn w:val="CommentTextChar"/>
    <w:link w:val="CommentSubject"/>
    <w:uiPriority w:val="99"/>
    <w:semiHidden/>
    <w:rsid w:val="00CE49CD"/>
    <w:rPr>
      <w:b/>
      <w:bCs/>
      <w:sz w:val="20"/>
      <w:szCs w:val="20"/>
    </w:rPr>
  </w:style>
  <w:style w:type="paragraph" w:styleId="Revision">
    <w:name w:val="Revision"/>
    <w:hidden/>
    <w:uiPriority w:val="99"/>
    <w:semiHidden/>
    <w:rsid w:val="00DA43F8"/>
    <w:pPr>
      <w:spacing w:after="0" w:line="240" w:lineRule="auto"/>
    </w:pPr>
  </w:style>
  <w:style w:type="character" w:styleId="UnresolvedMention">
    <w:name w:val="Unresolved Mention"/>
    <w:basedOn w:val="DefaultParagraphFont"/>
    <w:uiPriority w:val="99"/>
    <w:semiHidden/>
    <w:unhideWhenUsed/>
    <w:rsid w:val="00B8255F"/>
    <w:rPr>
      <w:color w:val="605E5C"/>
      <w:shd w:val="clear" w:color="auto" w:fill="E1DFDD"/>
    </w:rPr>
  </w:style>
  <w:style w:type="character" w:styleId="FollowedHyperlink">
    <w:name w:val="FollowedHyperlink"/>
    <w:basedOn w:val="DefaultParagraphFont"/>
    <w:uiPriority w:val="99"/>
    <w:semiHidden/>
    <w:unhideWhenUsed/>
    <w:rsid w:val="004510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cms.gov/Regulations-and-Guidance/Guidance/Manuals/Downloads/som107c02.pdf" TargetMode="External"/><Relationship Id="rId1" Type="http://schemas.openxmlformats.org/officeDocument/2006/relationships/hyperlink" Target="https://www.hhs.gov/guidance/sites/default/files/hhs-guidance-documents/R11130C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f457c8-7e20-4de4-8851-4805882bb853">
      <Terms xmlns="http://schemas.microsoft.com/office/infopath/2007/PartnerControls"/>
    </lcf76f155ced4ddcb4097134ff3c332f>
    <TaxCatchAll xmlns="4038c7d6-6b17-4cd5-a326-d6bf634fc6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7A96C49BCF884A855D8F83CFB79EA0" ma:contentTypeVersion="16" ma:contentTypeDescription="Create a new document." ma:contentTypeScope="" ma:versionID="a3cad60760392404eab3bf50d9ecb97e">
  <xsd:schema xmlns:xsd="http://www.w3.org/2001/XMLSchema" xmlns:xs="http://www.w3.org/2001/XMLSchema" xmlns:p="http://schemas.microsoft.com/office/2006/metadata/properties" xmlns:ns2="61f457c8-7e20-4de4-8851-4805882bb853" xmlns:ns3="4038c7d6-6b17-4cd5-a326-d6bf634fc6f3" targetNamespace="http://schemas.microsoft.com/office/2006/metadata/properties" ma:root="true" ma:fieldsID="8c7a8cfd386b86df4572950117b7ca9d" ns2:_="" ns3:_="">
    <xsd:import namespace="61f457c8-7e20-4de4-8851-4805882bb853"/>
    <xsd:import namespace="4038c7d6-6b17-4cd5-a326-d6bf634fc6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457c8-7e20-4de4-8851-4805882bb8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4a9535-2128-4002-b252-e17163498fa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38c7d6-6b17-4cd5-a326-d6bf634fc6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0bba7e-a091-4e04-a043-74c2a8e8b9df}" ma:internalName="TaxCatchAll" ma:showField="CatchAllData" ma:web="4038c7d6-6b17-4cd5-a326-d6bf634fc6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A07E3-DE19-49B0-9EEE-1C6542201249}">
  <ds:schemaRefs>
    <ds:schemaRef ds:uri="http://schemas.microsoft.com/sharepoint/v3/contenttype/forms"/>
  </ds:schemaRefs>
</ds:datastoreItem>
</file>

<file path=customXml/itemProps2.xml><?xml version="1.0" encoding="utf-8"?>
<ds:datastoreItem xmlns:ds="http://schemas.openxmlformats.org/officeDocument/2006/customXml" ds:itemID="{E651E559-75D4-4102-8F3F-999ACBDF3CB2}">
  <ds:schemaRefs>
    <ds:schemaRef ds:uri="http://schemas.microsoft.com/office/2006/metadata/properties"/>
    <ds:schemaRef ds:uri="http://schemas.microsoft.com/office/infopath/2007/PartnerControls"/>
    <ds:schemaRef ds:uri="61f457c8-7e20-4de4-8851-4805882bb853"/>
    <ds:schemaRef ds:uri="4038c7d6-6b17-4cd5-a326-d6bf634fc6f3"/>
  </ds:schemaRefs>
</ds:datastoreItem>
</file>

<file path=customXml/itemProps3.xml><?xml version="1.0" encoding="utf-8"?>
<ds:datastoreItem xmlns:ds="http://schemas.openxmlformats.org/officeDocument/2006/customXml" ds:itemID="{F7798978-8BD0-45FF-9D72-E7EE724F9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457c8-7e20-4de4-8851-4805882bb853"/>
    <ds:schemaRef ds:uri="4038c7d6-6b17-4cd5-a326-d6bf634fc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943483-6954-4B0D-9314-C17631DA9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1443</Words>
  <Characters>8230</Characters>
  <Application>Microsoft Office Word</Application>
  <DocSecurity>0</DocSecurity>
  <Lines>68</Lines>
  <Paragraphs>19</Paragraphs>
  <ScaleCrop>false</ScaleCrop>
  <Company/>
  <LinksUpToDate>false</LinksUpToDate>
  <CharactersWithSpaces>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Mckinley</dc:creator>
  <cp:keywords/>
  <dc:description/>
  <cp:lastModifiedBy>Alexa Mckinley</cp:lastModifiedBy>
  <cp:revision>5</cp:revision>
  <dcterms:created xsi:type="dcterms:W3CDTF">2022-08-05T19:45:00Z</dcterms:created>
  <dcterms:modified xsi:type="dcterms:W3CDTF">2022-08-16T20:01:00Z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0x010100F77A96C49BCF884A855D8F83CFB79EA0</vt:lpwstr>
  </property>
  <property fmtid="{D5CDD505-2E9C-101B-9397-08002B2CF9AE}" pid="3" name="MediaServiceImageTags">
    <vt:lpwstr/>
  </property>
</Properties>
</file>